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4D778">
      <w:pPr>
        <w:pStyle w:val="2"/>
        <w:keepNext w:val="0"/>
        <w:keepLines w:val="0"/>
        <w:pageBreakBefore w:val="0"/>
        <w:widowControl/>
        <w:kinsoku/>
        <w:wordWrap/>
        <w:overflowPunct/>
        <w:topLinePunct w:val="0"/>
        <w:autoSpaceDE/>
        <w:autoSpaceDN/>
        <w:bidi w:val="0"/>
        <w:jc w:val="center"/>
        <w:textAlignment w:val="auto"/>
        <w:outlineLvl w:val="9"/>
        <w:rPr>
          <w:rFonts w:hint="eastAsia" w:ascii="仿宋_GB2312" w:hAnsi="Times New Roman" w:eastAsia="仿宋_GB2312" w:cs="Times New Roman"/>
          <w:b/>
          <w:color w:val="auto"/>
          <w:kern w:val="2"/>
          <w:sz w:val="28"/>
          <w:szCs w:val="28"/>
          <w:highlight w:val="none"/>
          <w:u w:val="single"/>
          <w:lang w:val="en-US" w:eastAsia="zh-CN" w:bidi="ar-SA"/>
        </w:rPr>
      </w:pPr>
      <w:r>
        <w:rPr>
          <w:rFonts w:hint="eastAsia" w:ascii="仿宋_GB2312" w:hAnsi="Times New Roman" w:eastAsia="仿宋_GB2312" w:cs="Times New Roman"/>
          <w:b/>
          <w:color w:val="auto"/>
          <w:kern w:val="2"/>
          <w:sz w:val="28"/>
          <w:szCs w:val="28"/>
          <w:highlight w:val="none"/>
          <w:u w:val="single"/>
          <w:lang w:val="en-US" w:eastAsia="zh-CN" w:bidi="ar-SA"/>
        </w:rPr>
        <w:t xml:space="preserve">                    公司</w:t>
      </w:r>
    </w:p>
    <w:p w14:paraId="4504FF17">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仿宋_GB2312" w:hAnsi="Times New Roman" w:eastAsia="宋体" w:cs="Times New Roman"/>
          <w:b/>
          <w:color w:val="auto"/>
          <w:kern w:val="2"/>
          <w:sz w:val="28"/>
          <w:szCs w:val="28"/>
          <w:highlight w:val="none"/>
          <w:u w:val="none"/>
          <w:lang w:val="en-US" w:eastAsia="zh-CN" w:bidi="ar-SA"/>
        </w:rPr>
      </w:pPr>
      <w:r>
        <w:rPr>
          <w:rFonts w:hint="eastAsia" w:ascii="仿宋_GB2312" w:hAnsi="Times New Roman" w:eastAsia="仿宋_GB2312" w:cs="Times New Roman"/>
          <w:b/>
          <w:color w:val="auto"/>
          <w:kern w:val="2"/>
          <w:sz w:val="28"/>
          <w:szCs w:val="28"/>
          <w:highlight w:val="none"/>
          <w:u w:val="single"/>
          <w:lang w:val="en-US" w:eastAsia="zh-CN" w:bidi="ar-SA"/>
        </w:rPr>
        <w:t xml:space="preserve">                工程</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none"/>
          <w:lang w:val="en-US" w:eastAsia="zh-CN"/>
        </w:rPr>
        <w:t xml:space="preserve">   </w:t>
      </w:r>
    </w:p>
    <w:p w14:paraId="19901322">
      <w:pPr>
        <w:pStyle w:val="2"/>
        <w:keepNext w:val="0"/>
        <w:keepLines w:val="0"/>
        <w:pageBreakBefore w:val="0"/>
        <w:widowControl/>
        <w:kinsoku/>
        <w:wordWrap/>
        <w:overflowPunct/>
        <w:topLinePunct w:val="0"/>
        <w:autoSpaceDE/>
        <w:autoSpaceDN/>
        <w:bidi w:val="0"/>
        <w:jc w:val="right"/>
        <w:textAlignment w:val="auto"/>
        <w:outlineLvl w:val="9"/>
        <w:rPr>
          <w:color w:val="auto"/>
          <w:highlight w:val="none"/>
          <w:lang w:val="zh-CN"/>
        </w:rPr>
      </w:pPr>
    </w:p>
    <w:p w14:paraId="336D59EC">
      <w:pPr>
        <w:pStyle w:val="2"/>
        <w:keepNext w:val="0"/>
        <w:keepLines w:val="0"/>
        <w:pageBreakBefore w:val="0"/>
        <w:widowControl/>
        <w:kinsoku/>
        <w:wordWrap/>
        <w:overflowPunct/>
        <w:topLinePunct w:val="0"/>
        <w:autoSpaceDE/>
        <w:autoSpaceDN/>
        <w:bidi w:val="0"/>
        <w:jc w:val="right"/>
        <w:textAlignment w:val="auto"/>
        <w:outlineLvl w:val="9"/>
        <w:rPr>
          <w:color w:val="auto"/>
          <w:highlight w:val="none"/>
          <w:lang w:val="zh-CN"/>
        </w:rPr>
      </w:pPr>
    </w:p>
    <w:p w14:paraId="52F38C61">
      <w:pPr>
        <w:pStyle w:val="2"/>
        <w:keepNext w:val="0"/>
        <w:keepLines w:val="0"/>
        <w:pageBreakBefore w:val="0"/>
        <w:widowControl/>
        <w:kinsoku/>
        <w:wordWrap/>
        <w:overflowPunct/>
        <w:topLinePunct w:val="0"/>
        <w:autoSpaceDE/>
        <w:autoSpaceDN/>
        <w:bidi w:val="0"/>
        <w:jc w:val="right"/>
        <w:textAlignment w:val="auto"/>
        <w:outlineLvl w:val="9"/>
        <w:rPr>
          <w:color w:val="auto"/>
          <w:highlight w:val="none"/>
          <w:lang w:val="zh-CN"/>
        </w:rPr>
      </w:pPr>
    </w:p>
    <w:p w14:paraId="076234CC">
      <w:pPr>
        <w:pStyle w:val="2"/>
        <w:keepNext w:val="0"/>
        <w:keepLines w:val="0"/>
        <w:pageBreakBefore w:val="0"/>
        <w:widowControl/>
        <w:kinsoku/>
        <w:wordWrap/>
        <w:overflowPunct/>
        <w:topLinePunct w:val="0"/>
        <w:autoSpaceDE/>
        <w:autoSpaceDN/>
        <w:bidi w:val="0"/>
        <w:jc w:val="right"/>
        <w:textAlignment w:val="auto"/>
        <w:outlineLvl w:val="9"/>
        <w:rPr>
          <w:color w:val="auto"/>
          <w:highlight w:val="none"/>
          <w:lang w:val="zh-CN"/>
        </w:rPr>
      </w:pPr>
    </w:p>
    <w:p w14:paraId="79EDD045">
      <w:pPr>
        <w:pStyle w:val="2"/>
        <w:keepNext w:val="0"/>
        <w:keepLines w:val="0"/>
        <w:pageBreakBefore w:val="0"/>
        <w:widowControl/>
        <w:kinsoku/>
        <w:wordWrap/>
        <w:overflowPunct/>
        <w:topLinePunct w:val="0"/>
        <w:autoSpaceDE/>
        <w:autoSpaceDN/>
        <w:bidi w:val="0"/>
        <w:jc w:val="right"/>
        <w:textAlignment w:val="auto"/>
        <w:outlineLvl w:val="9"/>
        <w:rPr>
          <w:color w:val="auto"/>
          <w:highlight w:val="none"/>
          <w:lang w:val="zh-CN"/>
        </w:rPr>
      </w:pPr>
    </w:p>
    <w:p w14:paraId="5B898A46">
      <w:pPr>
        <w:keepNext w:val="0"/>
        <w:keepLines w:val="0"/>
        <w:pageBreakBefore w:val="0"/>
        <w:kinsoku/>
        <w:wordWrap/>
        <w:overflowPunct/>
        <w:topLinePunct w:val="0"/>
        <w:autoSpaceDE/>
        <w:autoSpaceDN/>
        <w:bidi w:val="0"/>
        <w:jc w:val="center"/>
        <w:textAlignment w:val="auto"/>
        <w:outlineLvl w:val="9"/>
        <w:rPr>
          <w:rFonts w:ascii="仿宋_GB2312" w:eastAsia="仿宋_GB2312"/>
          <w:b/>
          <w:color w:val="auto"/>
          <w:sz w:val="84"/>
          <w:szCs w:val="84"/>
        </w:rPr>
      </w:pPr>
      <w:r>
        <w:rPr>
          <w:rFonts w:hint="eastAsia" w:ascii="仿宋_GB2312" w:eastAsia="仿宋_GB2312"/>
          <w:b/>
          <w:color w:val="auto"/>
          <w:sz w:val="84"/>
          <w:szCs w:val="84"/>
        </w:rPr>
        <w:t>施 工 合 同</w:t>
      </w:r>
    </w:p>
    <w:p w14:paraId="0A37541F">
      <w:pPr>
        <w:pStyle w:val="2"/>
        <w:keepNext w:val="0"/>
        <w:keepLines w:val="0"/>
        <w:pageBreakBefore w:val="0"/>
        <w:kinsoku/>
        <w:wordWrap/>
        <w:overflowPunct/>
        <w:topLinePunct w:val="0"/>
        <w:autoSpaceDE/>
        <w:autoSpaceDN/>
        <w:bidi w:val="0"/>
        <w:jc w:val="center"/>
        <w:textAlignment w:val="auto"/>
        <w:outlineLvl w:val="9"/>
        <w:rPr>
          <w:color w:val="auto"/>
        </w:rPr>
      </w:pPr>
      <w:r>
        <w:rPr>
          <w:rFonts w:hint="eastAsia" w:ascii="仿宋_GB2312" w:eastAsia="仿宋_GB2312"/>
          <w:b/>
          <w:color w:val="auto"/>
          <w:sz w:val="30"/>
          <w:szCs w:val="30"/>
          <w:lang w:eastAsia="zh-CN"/>
        </w:rPr>
        <w:t>（</w:t>
      </w:r>
      <w:r>
        <w:rPr>
          <w:rFonts w:hint="eastAsia" w:ascii="仿宋_GB2312" w:eastAsia="仿宋_GB2312"/>
          <w:b/>
          <w:color w:val="auto"/>
          <w:sz w:val="30"/>
          <w:szCs w:val="30"/>
        </w:rPr>
        <w:t>合同编号：</w:t>
      </w:r>
      <w:r>
        <w:rPr>
          <w:rFonts w:hint="eastAsia" w:ascii="仿宋_GB2312" w:eastAsia="仿宋_GB2312"/>
          <w:b/>
          <w:color w:val="auto"/>
          <w:sz w:val="30"/>
          <w:szCs w:val="30"/>
          <w:lang w:val="en-US" w:eastAsia="zh-CN"/>
        </w:rPr>
        <w:t xml:space="preserve">     ）</w:t>
      </w:r>
    </w:p>
    <w:p w14:paraId="641518E6">
      <w:pPr>
        <w:pStyle w:val="2"/>
        <w:keepNext w:val="0"/>
        <w:keepLines w:val="0"/>
        <w:pageBreakBefore w:val="0"/>
        <w:kinsoku/>
        <w:wordWrap/>
        <w:overflowPunct/>
        <w:topLinePunct w:val="0"/>
        <w:autoSpaceDE/>
        <w:autoSpaceDN/>
        <w:bidi w:val="0"/>
        <w:textAlignment w:val="auto"/>
        <w:outlineLvl w:val="9"/>
        <w:rPr>
          <w:color w:val="auto"/>
        </w:rPr>
      </w:pPr>
    </w:p>
    <w:p w14:paraId="7D8FB92A">
      <w:pPr>
        <w:pStyle w:val="2"/>
        <w:keepNext w:val="0"/>
        <w:keepLines w:val="0"/>
        <w:pageBreakBefore w:val="0"/>
        <w:kinsoku/>
        <w:wordWrap/>
        <w:overflowPunct/>
        <w:topLinePunct w:val="0"/>
        <w:autoSpaceDE/>
        <w:autoSpaceDN/>
        <w:bidi w:val="0"/>
        <w:textAlignment w:val="auto"/>
        <w:outlineLvl w:val="9"/>
        <w:rPr>
          <w:color w:val="auto"/>
        </w:rPr>
      </w:pPr>
    </w:p>
    <w:p w14:paraId="434AAEEF">
      <w:pPr>
        <w:keepNext w:val="0"/>
        <w:keepLines w:val="0"/>
        <w:pageBreakBefore w:val="0"/>
        <w:kinsoku/>
        <w:wordWrap/>
        <w:overflowPunct/>
        <w:topLinePunct w:val="0"/>
        <w:autoSpaceDE/>
        <w:autoSpaceDN/>
        <w:bidi w:val="0"/>
        <w:textAlignment w:val="auto"/>
        <w:outlineLvl w:val="9"/>
        <w:rPr>
          <w:color w:val="auto"/>
        </w:rPr>
      </w:pPr>
    </w:p>
    <w:p w14:paraId="4BA06244">
      <w:pPr>
        <w:pStyle w:val="9"/>
        <w:keepNext w:val="0"/>
        <w:keepLines w:val="0"/>
        <w:pageBreakBefore w:val="0"/>
        <w:kinsoku/>
        <w:wordWrap/>
        <w:overflowPunct/>
        <w:topLinePunct w:val="0"/>
        <w:autoSpaceDE/>
        <w:autoSpaceDN/>
        <w:bidi w:val="0"/>
        <w:textAlignment w:val="auto"/>
        <w:outlineLvl w:val="9"/>
        <w:rPr>
          <w:color w:val="auto"/>
        </w:rPr>
      </w:pPr>
    </w:p>
    <w:p w14:paraId="758689D4">
      <w:pPr>
        <w:keepNext w:val="0"/>
        <w:keepLines w:val="0"/>
        <w:pageBreakBefore w:val="0"/>
        <w:kinsoku/>
        <w:wordWrap/>
        <w:overflowPunct/>
        <w:topLinePunct w:val="0"/>
        <w:autoSpaceDE/>
        <w:autoSpaceDN/>
        <w:bidi w:val="0"/>
        <w:textAlignment w:val="auto"/>
        <w:outlineLvl w:val="9"/>
        <w:rPr>
          <w:color w:val="auto"/>
        </w:rPr>
      </w:pPr>
    </w:p>
    <w:p w14:paraId="13A093D3">
      <w:pPr>
        <w:pStyle w:val="9"/>
        <w:keepNext w:val="0"/>
        <w:keepLines w:val="0"/>
        <w:pageBreakBefore w:val="0"/>
        <w:kinsoku/>
        <w:wordWrap/>
        <w:overflowPunct/>
        <w:topLinePunct w:val="0"/>
        <w:autoSpaceDE/>
        <w:autoSpaceDN/>
        <w:bidi w:val="0"/>
        <w:textAlignment w:val="auto"/>
        <w:outlineLvl w:val="9"/>
        <w:rPr>
          <w:color w:val="auto"/>
        </w:rPr>
      </w:pPr>
    </w:p>
    <w:p w14:paraId="0ABC1F2A">
      <w:pPr>
        <w:pStyle w:val="2"/>
        <w:keepNext w:val="0"/>
        <w:keepLines w:val="0"/>
        <w:pageBreakBefore w:val="0"/>
        <w:kinsoku/>
        <w:wordWrap/>
        <w:overflowPunct/>
        <w:topLinePunct w:val="0"/>
        <w:autoSpaceDE/>
        <w:autoSpaceDN/>
        <w:bidi w:val="0"/>
        <w:textAlignment w:val="auto"/>
        <w:outlineLvl w:val="9"/>
        <w:rPr>
          <w:color w:val="auto"/>
        </w:rPr>
      </w:pPr>
    </w:p>
    <w:p w14:paraId="276DFC21">
      <w:pPr>
        <w:pStyle w:val="2"/>
        <w:keepNext w:val="0"/>
        <w:keepLines w:val="0"/>
        <w:pageBreakBefore w:val="0"/>
        <w:kinsoku/>
        <w:wordWrap/>
        <w:overflowPunct/>
        <w:topLinePunct w:val="0"/>
        <w:autoSpaceDE/>
        <w:autoSpaceDN/>
        <w:bidi w:val="0"/>
        <w:textAlignment w:val="auto"/>
        <w:outlineLvl w:val="9"/>
        <w:rPr>
          <w:color w:val="auto"/>
        </w:rPr>
      </w:pPr>
    </w:p>
    <w:p w14:paraId="2E5E1514">
      <w:pPr>
        <w:pStyle w:val="2"/>
        <w:keepNext w:val="0"/>
        <w:keepLines w:val="0"/>
        <w:pageBreakBefore w:val="0"/>
        <w:widowControl/>
        <w:kinsoku/>
        <w:wordWrap/>
        <w:overflowPunct/>
        <w:topLinePunct w:val="0"/>
        <w:autoSpaceDE/>
        <w:autoSpaceDN/>
        <w:bidi w:val="0"/>
        <w:ind w:firstLine="1405" w:firstLineChars="500"/>
        <w:jc w:val="both"/>
        <w:textAlignment w:val="auto"/>
        <w:outlineLvl w:val="9"/>
        <w:rPr>
          <w:rFonts w:hint="eastAsia" w:ascii="仿宋_GB2312" w:hAnsi="Times New Roman" w:eastAsia="仿宋_GB2312" w:cs="Times New Roman"/>
          <w:b/>
          <w:color w:val="auto"/>
          <w:kern w:val="2"/>
          <w:sz w:val="28"/>
          <w:szCs w:val="28"/>
          <w:highlight w:val="none"/>
          <w:u w:val="single"/>
          <w:lang w:val="en-US" w:eastAsia="zh-CN" w:bidi="ar-SA"/>
        </w:rPr>
      </w:pPr>
      <w:r>
        <w:rPr>
          <w:rFonts w:hint="eastAsia" w:ascii="仿宋_GB2312" w:eastAsia="仿宋_GB2312"/>
          <w:b/>
          <w:color w:val="auto"/>
          <w:sz w:val="28"/>
          <w:szCs w:val="28"/>
          <w:highlight w:val="none"/>
        </w:rPr>
        <w:t>发包人：</w:t>
      </w:r>
    </w:p>
    <w:p w14:paraId="64C07864">
      <w:pPr>
        <w:keepNext w:val="0"/>
        <w:keepLines w:val="0"/>
        <w:pageBreakBefore w:val="0"/>
        <w:kinsoku/>
        <w:wordWrap/>
        <w:overflowPunct/>
        <w:topLinePunct w:val="0"/>
        <w:autoSpaceDE/>
        <w:autoSpaceDN/>
        <w:bidi w:val="0"/>
        <w:spacing w:line="360" w:lineRule="auto"/>
        <w:ind w:left="1119" w:leftChars="533" w:firstLine="281" w:firstLineChars="100"/>
        <w:jc w:val="left"/>
        <w:textAlignment w:val="auto"/>
        <w:outlineLvl w:val="9"/>
        <w:rPr>
          <w:rFonts w:hint="default" w:ascii="宋体" w:hAnsi="宋体" w:eastAsia="宋体" w:cs="Times New Roman"/>
          <w:color w:val="auto"/>
          <w:szCs w:val="21"/>
          <w:highlight w:val="yellow"/>
          <w:u w:val="single"/>
          <w:lang w:val="en-US" w:eastAsia="zh-CN"/>
        </w:rPr>
      </w:pPr>
      <w:r>
        <w:rPr>
          <w:rFonts w:hint="eastAsia" w:ascii="仿宋_GB2312" w:eastAsia="仿宋_GB2312"/>
          <w:b/>
          <w:color w:val="auto"/>
          <w:sz w:val="28"/>
          <w:szCs w:val="28"/>
          <w:highlight w:val="none"/>
        </w:rPr>
        <w:t>承包人：</w:t>
      </w:r>
    </w:p>
    <w:p w14:paraId="248C4130">
      <w:pPr>
        <w:keepNext w:val="0"/>
        <w:keepLines w:val="0"/>
        <w:pageBreakBefore w:val="0"/>
        <w:kinsoku/>
        <w:wordWrap/>
        <w:overflowPunct/>
        <w:topLinePunct w:val="0"/>
        <w:autoSpaceDE/>
        <w:autoSpaceDN/>
        <w:bidi w:val="0"/>
        <w:textAlignment w:val="auto"/>
        <w:outlineLvl w:val="9"/>
        <w:rPr>
          <w:rFonts w:ascii="仿宋_GB2312" w:eastAsia="仿宋_GB2312"/>
          <w:b/>
          <w:color w:val="auto"/>
          <w:sz w:val="28"/>
          <w:szCs w:val="36"/>
          <w:highlight w:val="none"/>
        </w:rPr>
      </w:pPr>
    </w:p>
    <w:p w14:paraId="1EAF0852">
      <w:pPr>
        <w:pStyle w:val="9"/>
        <w:keepNext w:val="0"/>
        <w:keepLines w:val="0"/>
        <w:pageBreakBefore w:val="0"/>
        <w:kinsoku/>
        <w:wordWrap/>
        <w:overflowPunct/>
        <w:topLinePunct w:val="0"/>
        <w:autoSpaceDE/>
        <w:autoSpaceDN/>
        <w:bidi w:val="0"/>
        <w:textAlignment w:val="auto"/>
        <w:outlineLvl w:val="9"/>
        <w:rPr>
          <w:rFonts w:ascii="仿宋_GB2312" w:eastAsia="仿宋_GB2312"/>
          <w:b/>
          <w:color w:val="auto"/>
          <w:sz w:val="28"/>
          <w:szCs w:val="36"/>
          <w:highlight w:val="none"/>
        </w:rPr>
      </w:pPr>
    </w:p>
    <w:p w14:paraId="537C3906">
      <w:pPr>
        <w:keepNext w:val="0"/>
        <w:keepLines w:val="0"/>
        <w:pageBreakBefore w:val="0"/>
        <w:kinsoku/>
        <w:wordWrap/>
        <w:overflowPunct/>
        <w:topLinePunct w:val="0"/>
        <w:autoSpaceDE/>
        <w:autoSpaceDN/>
        <w:bidi w:val="0"/>
        <w:textAlignment w:val="auto"/>
        <w:outlineLvl w:val="9"/>
        <w:rPr>
          <w:color w:val="auto"/>
        </w:rPr>
      </w:pPr>
    </w:p>
    <w:p w14:paraId="1D0DC7AF">
      <w:pPr>
        <w:keepNext w:val="0"/>
        <w:keepLines w:val="0"/>
        <w:pageBreakBefore w:val="0"/>
        <w:kinsoku/>
        <w:wordWrap/>
        <w:overflowPunct/>
        <w:topLinePunct w:val="0"/>
        <w:autoSpaceDE/>
        <w:autoSpaceDN/>
        <w:bidi w:val="0"/>
        <w:spacing w:line="360" w:lineRule="auto"/>
        <w:ind w:firstLine="3654" w:firstLineChars="1300"/>
        <w:jc w:val="both"/>
        <w:textAlignment w:val="auto"/>
        <w:outlineLvl w:val="9"/>
        <w:rPr>
          <w:rFonts w:ascii="宋体" w:hAnsi="宋体" w:cs="宋体"/>
          <w:b/>
          <w:bCs/>
          <w:color w:val="auto"/>
          <w:sz w:val="28"/>
          <w:szCs w:val="28"/>
          <w:highlight w:val="none"/>
          <w:u w:val="single"/>
        </w:rPr>
      </w:pPr>
      <w:r>
        <w:rPr>
          <w:rFonts w:hint="eastAsia" w:ascii="仿宋_GB2312" w:eastAsia="仿宋_GB2312"/>
          <w:b/>
          <w:color w:val="auto"/>
          <w:sz w:val="28"/>
          <w:szCs w:val="28"/>
          <w:highlight w:val="none"/>
        </w:rPr>
        <w:t>202</w:t>
      </w:r>
      <w:r>
        <w:rPr>
          <w:rFonts w:hint="eastAsia" w:ascii="仿宋_GB2312" w:eastAsia="仿宋_GB2312"/>
          <w:b/>
          <w:color w:val="auto"/>
          <w:sz w:val="28"/>
          <w:szCs w:val="28"/>
          <w:highlight w:val="none"/>
          <w:lang w:val="en-US" w:eastAsia="zh-CN"/>
        </w:rPr>
        <w:t>5</w:t>
      </w:r>
      <w:r>
        <w:rPr>
          <w:rFonts w:hint="eastAsia" w:ascii="仿宋_GB2312" w:eastAsia="仿宋_GB2312"/>
          <w:b/>
          <w:color w:val="auto"/>
          <w:sz w:val="28"/>
          <w:szCs w:val="28"/>
          <w:highlight w:val="none"/>
        </w:rPr>
        <w:t>年</w:t>
      </w:r>
      <w:r>
        <w:rPr>
          <w:rFonts w:hint="eastAsia" w:ascii="仿宋_GB2312" w:eastAsia="仿宋_GB2312"/>
          <w:b/>
          <w:color w:val="auto"/>
          <w:sz w:val="28"/>
          <w:szCs w:val="28"/>
          <w:highlight w:val="none"/>
          <w:lang w:val="en-US" w:eastAsia="zh-CN"/>
        </w:rPr>
        <w:t xml:space="preserve">   </w:t>
      </w:r>
      <w:r>
        <w:rPr>
          <w:rFonts w:hint="eastAsia" w:ascii="仿宋_GB2312" w:eastAsia="仿宋_GB2312"/>
          <w:b/>
          <w:color w:val="auto"/>
          <w:sz w:val="28"/>
          <w:szCs w:val="28"/>
          <w:highlight w:val="none"/>
        </w:rPr>
        <w:t>月</w:t>
      </w:r>
    </w:p>
    <w:p w14:paraId="533159B7">
      <w:pPr>
        <w:pStyle w:val="2"/>
        <w:widowControl/>
        <w:jc w:val="both"/>
        <w:rPr>
          <w:color w:val="auto"/>
          <w:sz w:val="20"/>
          <w:szCs w:val="20"/>
          <w:lang w:val="zh-CN"/>
        </w:rPr>
      </w:pPr>
      <w:r>
        <w:rPr>
          <w:color w:val="auto"/>
          <w:lang w:val="zh-CN"/>
        </w:rPr>
        <w:br w:type="page"/>
      </w:r>
    </w:p>
    <w:p w14:paraId="2E09E04C">
      <w:pPr>
        <w:pStyle w:val="3"/>
        <w:keepNext/>
        <w:keepLines/>
        <w:pageBreakBefore w:val="0"/>
        <w:widowControl w:val="0"/>
        <w:kinsoku/>
        <w:wordWrap/>
        <w:overflowPunct/>
        <w:topLinePunct w:val="0"/>
        <w:autoSpaceDE/>
        <w:autoSpaceDN/>
        <w:bidi w:val="0"/>
        <w:adjustRightInd/>
        <w:snapToGrid/>
        <w:spacing w:before="0" w:after="157" w:afterLines="50" w:line="360" w:lineRule="auto"/>
        <w:ind w:firstLine="562" w:firstLineChars="200"/>
        <w:jc w:val="center"/>
        <w:textAlignment w:val="auto"/>
        <w:rPr>
          <w:rFonts w:ascii="宋体" w:hAnsi="宋体" w:eastAsia="宋体" w:cs="宋体"/>
          <w:color w:val="auto"/>
          <w:sz w:val="28"/>
          <w:szCs w:val="28"/>
        </w:rPr>
      </w:pPr>
      <w:bookmarkStart w:id="0" w:name="_Toc70086581"/>
      <w:r>
        <w:rPr>
          <w:rFonts w:hint="eastAsia" w:ascii="宋体" w:hAnsi="宋体" w:eastAsia="宋体" w:cs="宋体"/>
          <w:color w:val="auto"/>
          <w:sz w:val="28"/>
          <w:szCs w:val="28"/>
        </w:rPr>
        <w:t>第一部分</w:t>
      </w:r>
      <w:r>
        <w:rPr>
          <w:rFonts w:ascii="宋体" w:hAnsi="宋体" w:eastAsia="宋体" w:cs="宋体"/>
          <w:color w:val="auto"/>
          <w:sz w:val="28"/>
          <w:szCs w:val="28"/>
        </w:rPr>
        <w:t xml:space="preserve"> </w:t>
      </w:r>
      <w:r>
        <w:rPr>
          <w:rFonts w:hint="eastAsia" w:ascii="宋体" w:hAnsi="宋体" w:eastAsia="宋体" w:cs="宋体"/>
          <w:color w:val="auto"/>
          <w:sz w:val="28"/>
          <w:szCs w:val="28"/>
        </w:rPr>
        <w:t>合同协议书</w:t>
      </w:r>
      <w:bookmarkEnd w:id="0"/>
    </w:p>
    <w:p w14:paraId="5B429F64">
      <w:pPr>
        <w:keepNext w:val="0"/>
        <w:keepLines w:val="0"/>
        <w:pageBreakBefore w:val="0"/>
        <w:kinsoku/>
        <w:wordWrap/>
        <w:overflowPunct/>
        <w:topLinePunct w:val="0"/>
        <w:autoSpaceDE/>
        <w:autoSpaceDN/>
        <w:bidi w:val="0"/>
        <w:ind w:firstLine="422" w:firstLineChars="200"/>
        <w:textAlignment w:val="auto"/>
        <w:outlineLvl w:val="9"/>
        <w:rPr>
          <w:rFonts w:hint="eastAsia" w:ascii="仿宋_GB2312" w:hAnsi="Times New Roman" w:eastAsia="仿宋_GB2312" w:cs="Times New Roman"/>
          <w:b/>
          <w:color w:val="auto"/>
          <w:kern w:val="2"/>
          <w:sz w:val="28"/>
          <w:szCs w:val="28"/>
          <w:highlight w:val="none"/>
          <w:u w:val="single"/>
          <w:lang w:val="en-US" w:eastAsia="zh-CN" w:bidi="ar-SA"/>
        </w:rPr>
      </w:pPr>
      <w:r>
        <w:rPr>
          <w:rFonts w:hint="eastAsia" w:ascii="宋体" w:hAnsi="宋体"/>
          <w:b/>
          <w:color w:val="auto"/>
          <w:szCs w:val="21"/>
          <w:highlight w:val="none"/>
        </w:rPr>
        <w:t>发包人（全称）：</w:t>
      </w:r>
    </w:p>
    <w:p w14:paraId="4F94B6A7">
      <w:pPr>
        <w:keepNext w:val="0"/>
        <w:keepLines w:val="0"/>
        <w:pageBreakBefore w:val="0"/>
        <w:kinsoku/>
        <w:wordWrap/>
        <w:overflowPunct/>
        <w:topLinePunct w:val="0"/>
        <w:autoSpaceDE/>
        <w:autoSpaceDN/>
        <w:bidi w:val="0"/>
        <w:spacing w:line="360" w:lineRule="auto"/>
        <w:ind w:firstLine="422" w:firstLineChars="200"/>
        <w:jc w:val="left"/>
        <w:textAlignment w:val="auto"/>
        <w:outlineLvl w:val="9"/>
        <w:rPr>
          <w:rFonts w:hint="default" w:ascii="宋体" w:hAnsi="宋体" w:eastAsia="宋体" w:cs="Times New Roman"/>
          <w:color w:val="auto"/>
          <w:szCs w:val="21"/>
          <w:highlight w:val="yellow"/>
          <w:u w:val="single"/>
          <w:lang w:val="en-US" w:eastAsia="zh-CN"/>
        </w:rPr>
      </w:pPr>
      <w:r>
        <w:rPr>
          <w:rFonts w:hint="eastAsia" w:ascii="宋体" w:hAnsi="宋体"/>
          <w:b/>
          <w:color w:val="auto"/>
          <w:szCs w:val="21"/>
          <w:highlight w:val="none"/>
        </w:rPr>
        <w:t>承包人（全称）：</w:t>
      </w:r>
      <w:r>
        <w:rPr>
          <w:rFonts w:hint="eastAsia" w:ascii="宋体" w:hAnsi="宋体" w:eastAsia="宋体" w:cs="宋体"/>
          <w:b/>
          <w:bCs/>
          <w:sz w:val="28"/>
          <w:szCs w:val="28"/>
          <w:u w:val="single"/>
          <w:lang w:val="en-US" w:eastAsia="zh-CN"/>
        </w:rPr>
        <w:t xml:space="preserve">  </w:t>
      </w:r>
    </w:p>
    <w:p w14:paraId="5F31217F">
      <w:pPr>
        <w:keepNext w:val="0"/>
        <w:keepLines w:val="0"/>
        <w:pageBreakBefore w:val="0"/>
        <w:widowControl w:val="0"/>
        <w:kinsoku/>
        <w:wordWrap/>
        <w:overflowPunct/>
        <w:topLinePunct w:val="0"/>
        <w:autoSpaceDE/>
        <w:autoSpaceDN/>
        <w:bidi w:val="0"/>
        <w:adjustRightInd/>
        <w:snapToGrid/>
        <w:spacing w:beforeAutospacing="0" w:after="157" w:afterLines="50" w:afterAutospacing="0" w:line="360" w:lineRule="auto"/>
        <w:ind w:firstLine="422" w:firstLineChars="200"/>
        <w:textAlignment w:val="auto"/>
        <w:rPr>
          <w:rFonts w:hint="eastAsia" w:ascii="宋体" w:hAnsi="宋体"/>
          <w:b/>
          <w:color w:val="auto"/>
          <w:szCs w:val="21"/>
          <w:highlight w:val="none"/>
        </w:rPr>
      </w:pPr>
    </w:p>
    <w:p w14:paraId="2E25DA7E">
      <w:pPr>
        <w:keepNext w:val="0"/>
        <w:keepLines w:val="0"/>
        <w:pageBreakBefore w:val="0"/>
        <w:widowControl w:val="0"/>
        <w:kinsoku/>
        <w:wordWrap/>
        <w:overflowPunct/>
        <w:topLinePunct w:val="0"/>
        <w:autoSpaceDE/>
        <w:autoSpaceDN/>
        <w:bidi w:val="0"/>
        <w:adjustRightInd/>
        <w:snapToGrid/>
        <w:spacing w:beforeAutospacing="0" w:after="157" w:afterLines="50" w:afterAutospacing="0" w:line="360" w:lineRule="auto"/>
        <w:ind w:firstLine="420" w:firstLineChars="200"/>
        <w:textAlignment w:val="auto"/>
        <w:rPr>
          <w:rFonts w:ascii="宋体" w:hAnsi="宋体"/>
          <w:b/>
          <w:color w:val="auto"/>
          <w:szCs w:val="21"/>
          <w:u w:val="single"/>
        </w:rPr>
      </w:pPr>
      <w:r>
        <w:rPr>
          <w:rFonts w:hint="eastAsia" w:ascii="宋体" w:hAnsi="宋体"/>
          <w:color w:val="auto"/>
          <w:szCs w:val="21"/>
        </w:rPr>
        <w:t>根据</w:t>
      </w:r>
      <w:r>
        <w:rPr>
          <w:rFonts w:hint="eastAsia" w:ascii="宋体" w:hAnsi="宋体"/>
          <w:color w:val="auto"/>
          <w:szCs w:val="21"/>
          <w:lang w:eastAsia="zh-CN"/>
        </w:rPr>
        <w:t>《中华人民共和国民法典》</w:t>
      </w:r>
      <w:r>
        <w:rPr>
          <w:rFonts w:hint="eastAsia" w:ascii="宋体" w:hAnsi="宋体"/>
          <w:color w:val="auto"/>
          <w:szCs w:val="21"/>
        </w:rPr>
        <w:t>、《中华人民共和国建筑法》及有关法律、法规规定，遵循平等、自愿、公平和诚实信用的原则，双方就</w:t>
      </w:r>
      <w:r>
        <w:rPr>
          <w:rFonts w:hint="eastAsia" w:ascii="宋体" w:hAnsi="宋体"/>
          <w:color w:val="auto"/>
          <w:szCs w:val="21"/>
          <w:u w:val="single"/>
          <w:lang w:val="en-US" w:eastAsia="zh-CN"/>
        </w:rPr>
        <w:t xml:space="preserve">                  </w:t>
      </w:r>
      <w:r>
        <w:rPr>
          <w:rFonts w:hint="eastAsia" w:ascii="宋体" w:hAnsi="宋体"/>
          <w:color w:val="auto"/>
          <w:szCs w:val="21"/>
          <w:u w:val="single"/>
        </w:rPr>
        <w:t>整修</w:t>
      </w:r>
      <w:r>
        <w:rPr>
          <w:rFonts w:hint="eastAsia" w:ascii="宋体" w:hAnsi="宋体"/>
          <w:color w:val="auto"/>
          <w:szCs w:val="21"/>
        </w:rPr>
        <w:t>工程施工及有关事项协商一致，共同达成如下协议：</w:t>
      </w:r>
    </w:p>
    <w:p w14:paraId="68B94FC8">
      <w:pPr>
        <w:pStyle w:val="3"/>
        <w:keepNext/>
        <w:keepLines/>
        <w:pageBreakBefore w:val="0"/>
        <w:widowControl w:val="0"/>
        <w:kinsoku/>
        <w:wordWrap/>
        <w:overflowPunct/>
        <w:topLinePunct w:val="0"/>
        <w:autoSpaceDE/>
        <w:autoSpaceDN/>
        <w:bidi w:val="0"/>
        <w:adjustRightInd/>
        <w:snapToGrid/>
        <w:spacing w:before="313" w:beforeLines="100" w:after="157" w:afterLines="50" w:line="360" w:lineRule="auto"/>
        <w:ind w:firstLine="562" w:firstLineChars="200"/>
        <w:jc w:val="left"/>
        <w:textAlignment w:val="auto"/>
        <w:rPr>
          <w:rFonts w:hint="eastAsia" w:ascii="宋体" w:hAnsi="宋体" w:eastAsia="宋体" w:cs="宋体"/>
          <w:color w:val="auto"/>
          <w:sz w:val="28"/>
          <w:szCs w:val="28"/>
        </w:rPr>
      </w:pPr>
      <w:bookmarkStart w:id="1" w:name="_Toc532377166"/>
      <w:bookmarkStart w:id="2" w:name="_Toc532375573"/>
      <w:r>
        <w:rPr>
          <w:rFonts w:hint="eastAsia" w:ascii="宋体" w:hAnsi="宋体" w:eastAsia="宋体" w:cs="宋体"/>
          <w:color w:val="auto"/>
          <w:sz w:val="28"/>
          <w:szCs w:val="28"/>
        </w:rPr>
        <w:t>一、工程概况</w:t>
      </w:r>
      <w:bookmarkEnd w:id="1"/>
      <w:bookmarkEnd w:id="2"/>
    </w:p>
    <w:p w14:paraId="2EAD438B">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u w:val="single"/>
        </w:rPr>
      </w:pPr>
      <w:r>
        <w:rPr>
          <w:rFonts w:hint="eastAsia" w:ascii="宋体" w:hAnsi="宋体"/>
          <w:bCs/>
          <w:color w:val="auto"/>
          <w:szCs w:val="21"/>
        </w:rPr>
        <w:t>1.工程名称</w:t>
      </w:r>
      <w:r>
        <w:rPr>
          <w:rFonts w:hint="eastAsia" w:ascii="宋体" w:hAnsi="宋体"/>
          <w:color w:val="auto"/>
          <w:szCs w:val="21"/>
        </w:rPr>
        <w:t>：</w:t>
      </w:r>
      <w:r>
        <w:rPr>
          <w:rFonts w:hint="eastAsia" w:ascii="宋体" w:hAnsi="宋体"/>
          <w:bCs/>
          <w:color w:val="auto"/>
          <w:szCs w:val="21"/>
          <w:u w:val="single"/>
          <w:lang w:val="en-US" w:eastAsia="zh-CN"/>
        </w:rPr>
        <w:t xml:space="preserve">            </w:t>
      </w:r>
      <w:r>
        <w:rPr>
          <w:rFonts w:hint="eastAsia" w:ascii="宋体" w:hAnsi="宋体"/>
          <w:bCs/>
          <w:color w:val="auto"/>
          <w:szCs w:val="21"/>
          <w:u w:val="single"/>
          <w:lang w:val="zh-CN" w:eastAsia="zh-CN"/>
        </w:rPr>
        <w:t>工程</w:t>
      </w:r>
      <w:r>
        <w:rPr>
          <w:rFonts w:hint="eastAsia" w:ascii="宋体" w:hAnsi="宋体"/>
          <w:color w:val="auto"/>
          <w:szCs w:val="21"/>
          <w:u w:val="single"/>
        </w:rPr>
        <w:t>。</w:t>
      </w:r>
    </w:p>
    <w:p w14:paraId="302AA093">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bCs/>
          <w:color w:val="auto"/>
          <w:szCs w:val="21"/>
        </w:rPr>
      </w:pPr>
      <w:r>
        <w:rPr>
          <w:rFonts w:hint="eastAsia" w:ascii="宋体" w:hAnsi="宋体"/>
          <w:bCs/>
          <w:color w:val="auto"/>
          <w:szCs w:val="21"/>
        </w:rPr>
        <w:t>2.工程地点：</w:t>
      </w:r>
      <w:r>
        <w:rPr>
          <w:rFonts w:hint="eastAsia" w:ascii="宋体" w:hAnsi="宋体"/>
          <w:color w:val="auto"/>
          <w:szCs w:val="21"/>
          <w:u w:val="single"/>
          <w:lang w:val="en-US" w:eastAsia="zh-CN"/>
        </w:rPr>
        <w:t xml:space="preserve">          </w:t>
      </w:r>
      <w:r>
        <w:rPr>
          <w:rFonts w:hint="eastAsia" w:ascii="宋体" w:hAnsi="宋体"/>
          <w:color w:val="auto"/>
          <w:szCs w:val="21"/>
        </w:rPr>
        <w:t>。</w:t>
      </w:r>
    </w:p>
    <w:p w14:paraId="56CE12A2">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bCs/>
          <w:color w:val="auto"/>
          <w:szCs w:val="21"/>
        </w:rPr>
      </w:pPr>
      <w:r>
        <w:rPr>
          <w:rFonts w:hint="eastAsia" w:ascii="宋体" w:hAnsi="宋体"/>
          <w:bCs/>
          <w:color w:val="auto"/>
          <w:szCs w:val="21"/>
          <w:lang w:val="en-US" w:eastAsia="zh-CN"/>
        </w:rPr>
        <w:t>3</w:t>
      </w:r>
      <w:r>
        <w:rPr>
          <w:rFonts w:hint="eastAsia" w:ascii="宋体" w:hAnsi="宋体"/>
          <w:bCs/>
          <w:color w:val="auto"/>
          <w:szCs w:val="21"/>
        </w:rPr>
        <w:t>.工程</w:t>
      </w:r>
      <w:r>
        <w:rPr>
          <w:rFonts w:hint="eastAsia" w:ascii="宋体" w:hAnsi="宋体"/>
          <w:bCs/>
          <w:color w:val="auto"/>
          <w:szCs w:val="21"/>
          <w:lang w:val="en-US" w:eastAsia="zh-CN"/>
        </w:rPr>
        <w:t>主要</w:t>
      </w:r>
      <w:r>
        <w:rPr>
          <w:rFonts w:hint="eastAsia" w:ascii="宋体" w:hAnsi="宋体"/>
          <w:bCs/>
          <w:color w:val="auto"/>
          <w:szCs w:val="21"/>
        </w:rPr>
        <w:t>内容：</w:t>
      </w:r>
    </w:p>
    <w:p w14:paraId="23C004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Times New Roman"/>
          <w:bCs/>
          <w:color w:val="auto"/>
          <w:szCs w:val="21"/>
          <w:u w:val="single"/>
          <w:lang w:val="en-US" w:eastAsia="zh-CN"/>
        </w:rPr>
      </w:pPr>
      <w:r>
        <w:rPr>
          <w:rFonts w:hint="eastAsia" w:ascii="宋体" w:hAnsi="宋体"/>
          <w:bCs/>
          <w:color w:val="auto"/>
          <w:szCs w:val="21"/>
          <w:u w:val="single"/>
          <w:lang w:val="en-US" w:eastAsia="zh-CN"/>
        </w:rPr>
        <w:t xml:space="preserve">                      。</w:t>
      </w:r>
    </w:p>
    <w:p w14:paraId="65CCEE29">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bCs/>
          <w:color w:val="auto"/>
          <w:szCs w:val="21"/>
          <w:u w:val="none"/>
          <w:lang w:val="en-US" w:eastAsia="zh-CN"/>
        </w:rPr>
      </w:pPr>
      <w:r>
        <w:rPr>
          <w:rFonts w:hint="eastAsia" w:ascii="宋体" w:hAnsi="宋体"/>
          <w:bCs/>
          <w:color w:val="auto"/>
          <w:szCs w:val="21"/>
        </w:rPr>
        <w:t>工程承包范围：</w:t>
      </w:r>
      <w:r>
        <w:rPr>
          <w:rFonts w:hint="eastAsia" w:ascii="宋体" w:hAnsi="宋体"/>
          <w:color w:val="auto"/>
          <w:szCs w:val="21"/>
          <w:u w:val="none"/>
        </w:rPr>
        <w:t>以工程量清单为准</w:t>
      </w:r>
      <w:r>
        <w:rPr>
          <w:rFonts w:hint="eastAsia" w:ascii="宋体" w:hAnsi="宋体" w:eastAsia="宋体" w:cs="Times New Roman"/>
          <w:bCs/>
          <w:color w:val="auto"/>
          <w:szCs w:val="21"/>
          <w:u w:val="none"/>
          <w:lang w:val="en-US" w:eastAsia="zh-CN"/>
        </w:rPr>
        <w:t xml:space="preserve"> 。</w:t>
      </w:r>
    </w:p>
    <w:p w14:paraId="22CDC860">
      <w:pPr>
        <w:pStyle w:val="3"/>
        <w:keepNext/>
        <w:keepLines/>
        <w:pageBreakBefore w:val="0"/>
        <w:widowControl w:val="0"/>
        <w:kinsoku/>
        <w:wordWrap/>
        <w:overflowPunct/>
        <w:topLinePunct w:val="0"/>
        <w:autoSpaceDE/>
        <w:autoSpaceDN/>
        <w:bidi w:val="0"/>
        <w:adjustRightInd/>
        <w:snapToGrid/>
        <w:spacing w:before="313" w:beforeLines="100" w:after="157" w:afterLines="50" w:line="360" w:lineRule="auto"/>
        <w:ind w:firstLine="643" w:firstLineChars="200"/>
        <w:jc w:val="left"/>
        <w:textAlignment w:val="auto"/>
        <w:rPr>
          <w:rFonts w:hint="eastAsia" w:ascii="宋体" w:hAnsi="宋体" w:eastAsia="宋体" w:cs="Times New Roman"/>
          <w:bCs/>
          <w:color w:val="auto"/>
          <w:szCs w:val="21"/>
          <w:u w:val="none"/>
          <w:lang w:val="en-US" w:eastAsia="zh-CN"/>
        </w:rPr>
      </w:pPr>
      <w:r>
        <w:rPr>
          <w:rFonts w:hint="eastAsia" w:ascii="宋体" w:hAnsi="宋体" w:eastAsia="宋体" w:cs="Times New Roman"/>
          <w:bCs/>
          <w:color w:val="auto"/>
          <w:szCs w:val="21"/>
          <w:u w:val="none"/>
          <w:lang w:val="en-US" w:eastAsia="zh-CN"/>
        </w:rPr>
        <w:t>工程量清单费用表</w:t>
      </w:r>
      <w:bookmarkStart w:id="3" w:name="_Toc532377167"/>
      <w:bookmarkStart w:id="4" w:name="_Toc532375574"/>
      <w:r>
        <w:rPr>
          <w:rFonts w:hint="eastAsia" w:ascii="宋体" w:hAnsi="宋体" w:eastAsia="宋体" w:cs="Times New Roman"/>
          <w:bCs/>
          <w:color w:val="auto"/>
          <w:szCs w:val="21"/>
          <w:u w:val="none"/>
          <w:lang w:val="en-US" w:eastAsia="zh-CN"/>
        </w:rPr>
        <w:t xml:space="preserve"> </w:t>
      </w:r>
    </w:p>
    <w:p w14:paraId="205E78FC">
      <w:pPr>
        <w:rPr>
          <w:rFonts w:hint="eastAsia" w:ascii="宋体" w:hAnsi="宋体" w:eastAsia="宋体" w:cs="Times New Roman"/>
          <w:bCs/>
          <w:color w:val="auto"/>
          <w:szCs w:val="21"/>
          <w:u w:val="none"/>
          <w:lang w:val="en-US" w:eastAsia="zh-CN"/>
        </w:rPr>
      </w:pPr>
    </w:p>
    <w:p w14:paraId="5B5B757A">
      <w:pPr>
        <w:pStyle w:val="2"/>
        <w:rPr>
          <w:rFonts w:hint="eastAsia" w:ascii="宋体" w:hAnsi="宋体" w:eastAsia="宋体" w:cs="Times New Roman"/>
          <w:bCs/>
          <w:color w:val="auto"/>
          <w:szCs w:val="21"/>
          <w:u w:val="none"/>
          <w:lang w:val="en-US" w:eastAsia="zh-CN"/>
        </w:rPr>
      </w:pPr>
    </w:p>
    <w:p w14:paraId="7B1885B7">
      <w:pPr>
        <w:rPr>
          <w:rFonts w:hint="eastAsia" w:ascii="宋体" w:hAnsi="宋体" w:eastAsia="宋体" w:cs="Times New Roman"/>
          <w:bCs/>
          <w:color w:val="auto"/>
          <w:szCs w:val="21"/>
          <w:u w:val="none"/>
          <w:lang w:val="en-US" w:eastAsia="zh-CN"/>
        </w:rPr>
      </w:pPr>
    </w:p>
    <w:p w14:paraId="06D8F434">
      <w:pPr>
        <w:pStyle w:val="2"/>
        <w:rPr>
          <w:rFonts w:hint="eastAsia" w:ascii="宋体" w:hAnsi="宋体" w:eastAsia="宋体" w:cs="Times New Roman"/>
          <w:bCs/>
          <w:color w:val="auto"/>
          <w:szCs w:val="21"/>
          <w:u w:val="none"/>
          <w:lang w:val="en-US" w:eastAsia="zh-CN"/>
        </w:rPr>
      </w:pPr>
    </w:p>
    <w:p w14:paraId="43355A6F">
      <w:pPr>
        <w:rPr>
          <w:rFonts w:hint="default"/>
          <w:lang w:val="en-US" w:eastAsia="zh-CN"/>
        </w:rPr>
      </w:pPr>
    </w:p>
    <w:p w14:paraId="21B33D40">
      <w:pPr>
        <w:pStyle w:val="3"/>
        <w:keepNext/>
        <w:keepLines/>
        <w:pageBreakBefore w:val="0"/>
        <w:widowControl w:val="0"/>
        <w:kinsoku/>
        <w:wordWrap/>
        <w:overflowPunct/>
        <w:topLinePunct w:val="0"/>
        <w:autoSpaceDE/>
        <w:autoSpaceDN/>
        <w:bidi w:val="0"/>
        <w:adjustRightInd/>
        <w:snapToGrid/>
        <w:spacing w:before="313" w:beforeLines="100" w:after="157" w:afterLines="50" w:line="360" w:lineRule="auto"/>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二、合同工期</w:t>
      </w:r>
      <w:bookmarkEnd w:id="3"/>
      <w:bookmarkEnd w:id="4"/>
    </w:p>
    <w:p w14:paraId="7FD31F81">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bCs/>
          <w:color w:val="auto"/>
          <w:szCs w:val="21"/>
        </w:rPr>
      </w:pPr>
      <w:r>
        <w:rPr>
          <w:rFonts w:hint="eastAsia" w:ascii="宋体" w:hAnsi="宋体"/>
          <w:bCs/>
          <w:color w:val="auto"/>
          <w:szCs w:val="21"/>
          <w:lang w:val="en-US" w:eastAsia="zh-CN"/>
        </w:rPr>
        <w:t>1.</w:t>
      </w:r>
      <w:r>
        <w:rPr>
          <w:rFonts w:hint="eastAsia" w:ascii="宋体" w:hAnsi="宋体"/>
          <w:bCs/>
          <w:color w:val="auto"/>
          <w:szCs w:val="21"/>
        </w:rPr>
        <w:t>计划开工日期：</w:t>
      </w:r>
      <w:r>
        <w:rPr>
          <w:rFonts w:hint="eastAsia" w:ascii="宋体" w:hAnsi="宋体"/>
          <w:bCs/>
          <w:color w:val="auto"/>
          <w:szCs w:val="21"/>
          <w:lang w:val="en-US" w:eastAsia="zh-CN"/>
        </w:rPr>
        <w:t>2025</w:t>
      </w:r>
      <w:r>
        <w:rPr>
          <w:rFonts w:hint="eastAsia" w:ascii="宋体" w:hAnsi="宋体" w:eastAsia="宋体" w:cs="Times New Roman"/>
          <w:color w:val="000000"/>
          <w:kern w:val="2"/>
          <w:sz w:val="21"/>
          <w:szCs w:val="21"/>
          <w:highlight w:val="none"/>
          <w:u w:val="single"/>
          <w:lang w:val="en-US" w:eastAsia="zh-CN" w:bidi="ar-SA"/>
        </w:rPr>
        <w:t>年 月 日</w:t>
      </w:r>
      <w:r>
        <w:rPr>
          <w:rFonts w:hint="eastAsia" w:ascii="宋体" w:hAnsi="宋体"/>
          <w:bCs/>
          <w:color w:val="000000"/>
          <w:szCs w:val="21"/>
          <w:highlight w:val="none"/>
        </w:rPr>
        <w:t>，</w:t>
      </w:r>
      <w:r>
        <w:rPr>
          <w:rFonts w:hint="eastAsia" w:ascii="宋体" w:hAnsi="宋体"/>
          <w:bCs/>
          <w:color w:val="auto"/>
          <w:szCs w:val="21"/>
        </w:rPr>
        <w:t>实际开工日期以</w:t>
      </w:r>
      <w:r>
        <w:rPr>
          <w:rFonts w:hint="eastAsia" w:ascii="宋体" w:hAnsi="宋体"/>
          <w:bCs/>
          <w:color w:val="auto"/>
          <w:szCs w:val="21"/>
          <w:lang w:val="en-US" w:eastAsia="zh-CN"/>
        </w:rPr>
        <w:t>发包人</w:t>
      </w:r>
      <w:r>
        <w:rPr>
          <w:rFonts w:hint="eastAsia" w:ascii="宋体" w:hAnsi="宋体"/>
          <w:bCs/>
          <w:color w:val="auto"/>
          <w:szCs w:val="21"/>
        </w:rPr>
        <w:t>签发的工程开工通知明确的开工日期为准。</w:t>
      </w:r>
    </w:p>
    <w:p w14:paraId="43722C8F">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bCs/>
          <w:color w:val="auto"/>
          <w:szCs w:val="21"/>
        </w:rPr>
      </w:pPr>
      <w:r>
        <w:rPr>
          <w:rFonts w:hint="eastAsia" w:ascii="宋体" w:hAnsi="宋体"/>
          <w:bCs/>
          <w:color w:val="auto"/>
          <w:szCs w:val="21"/>
          <w:lang w:val="en-US" w:eastAsia="zh-CN"/>
        </w:rPr>
        <w:t>2.</w:t>
      </w:r>
      <w:r>
        <w:rPr>
          <w:rFonts w:hint="eastAsia" w:ascii="宋体" w:hAnsi="宋体"/>
          <w:bCs/>
          <w:color w:val="auto"/>
          <w:szCs w:val="21"/>
        </w:rPr>
        <w:t>计划竣工日期：</w:t>
      </w:r>
      <w:r>
        <w:rPr>
          <w:rFonts w:hint="eastAsia" w:ascii="宋体" w:hAnsi="宋体"/>
          <w:bCs/>
          <w:color w:val="auto"/>
          <w:szCs w:val="21"/>
          <w:lang w:val="en-US" w:eastAsia="zh-CN"/>
        </w:rPr>
        <w:t>2025</w:t>
      </w:r>
      <w:r>
        <w:rPr>
          <w:rFonts w:hint="eastAsia" w:ascii="宋体" w:hAnsi="宋体" w:eastAsia="宋体" w:cs="Times New Roman"/>
          <w:color w:val="auto"/>
          <w:kern w:val="2"/>
          <w:sz w:val="21"/>
          <w:szCs w:val="21"/>
          <w:highlight w:val="none"/>
          <w:u w:val="single"/>
          <w:lang w:val="en-US" w:eastAsia="zh-CN" w:bidi="ar-SA"/>
        </w:rPr>
        <w:t>年 月 日</w:t>
      </w:r>
      <w:r>
        <w:rPr>
          <w:rFonts w:hint="eastAsia" w:ascii="宋体" w:hAnsi="宋体"/>
          <w:bCs/>
          <w:color w:val="auto"/>
          <w:szCs w:val="21"/>
        </w:rPr>
        <w:t>，实际竣工日期以工程竣工验收合格之日为准。</w:t>
      </w:r>
    </w:p>
    <w:p w14:paraId="1E75AA8F">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color w:val="auto"/>
          <w:szCs w:val="21"/>
        </w:rPr>
      </w:pPr>
      <w:r>
        <w:rPr>
          <w:rFonts w:hint="eastAsia" w:ascii="宋体" w:hAnsi="宋体"/>
          <w:bCs/>
          <w:color w:val="auto"/>
          <w:szCs w:val="21"/>
          <w:lang w:val="en-US" w:eastAsia="zh-CN"/>
        </w:rPr>
        <w:t>3.</w:t>
      </w:r>
      <w:r>
        <w:rPr>
          <w:rFonts w:hint="eastAsia" w:ascii="宋体" w:hAnsi="宋体"/>
          <w:bCs/>
          <w:color w:val="auto"/>
          <w:szCs w:val="21"/>
        </w:rPr>
        <w:t>工期总日历天</w:t>
      </w:r>
      <w:r>
        <w:rPr>
          <w:rFonts w:hint="eastAsia" w:ascii="宋体" w:hAnsi="宋体"/>
          <w:bCs/>
          <w:color w:val="auto"/>
          <w:szCs w:val="21"/>
          <w:highlight w:val="none"/>
        </w:rPr>
        <w:t>数</w:t>
      </w:r>
      <w:r>
        <w:rPr>
          <w:rFonts w:hint="eastAsia" w:ascii="宋体" w:hAnsi="宋体"/>
          <w:bCs/>
          <w:color w:val="auto"/>
          <w:szCs w:val="21"/>
          <w:highlight w:val="none"/>
          <w:lang w:val="en-US" w:eastAsia="zh-CN"/>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bCs/>
          <w:color w:val="auto"/>
          <w:szCs w:val="21"/>
        </w:rPr>
        <w:t>天。工期总日历天数与根据前述计划开竣工日期计算的工期天数不一</w:t>
      </w:r>
      <w:r>
        <w:rPr>
          <w:rFonts w:hint="eastAsia" w:ascii="宋体" w:hAnsi="宋体"/>
          <w:color w:val="auto"/>
          <w:szCs w:val="21"/>
        </w:rPr>
        <w:t>致的，以工期总日历天数为准。</w:t>
      </w:r>
    </w:p>
    <w:p w14:paraId="1B1C43C2">
      <w:pPr>
        <w:pStyle w:val="3"/>
        <w:keepNext/>
        <w:keepLines/>
        <w:pageBreakBefore w:val="0"/>
        <w:widowControl w:val="0"/>
        <w:kinsoku/>
        <w:wordWrap/>
        <w:overflowPunct/>
        <w:topLinePunct w:val="0"/>
        <w:autoSpaceDE/>
        <w:autoSpaceDN/>
        <w:bidi w:val="0"/>
        <w:adjustRightInd/>
        <w:snapToGrid/>
        <w:spacing w:before="313" w:beforeLines="100" w:after="157" w:afterLines="50" w:line="360" w:lineRule="auto"/>
        <w:ind w:firstLine="562" w:firstLineChars="200"/>
        <w:jc w:val="left"/>
        <w:textAlignment w:val="auto"/>
        <w:rPr>
          <w:rFonts w:hint="eastAsia" w:ascii="宋体" w:hAnsi="宋体" w:eastAsia="宋体" w:cs="宋体"/>
          <w:color w:val="auto"/>
          <w:sz w:val="28"/>
          <w:szCs w:val="28"/>
        </w:rPr>
      </w:pPr>
      <w:bookmarkStart w:id="5" w:name="_Toc532375575"/>
      <w:bookmarkStart w:id="6" w:name="_Toc532377168"/>
      <w:r>
        <w:rPr>
          <w:rFonts w:hint="eastAsia" w:ascii="宋体" w:hAnsi="宋体" w:eastAsia="宋体" w:cs="宋体"/>
          <w:color w:val="auto"/>
          <w:sz w:val="28"/>
          <w:szCs w:val="28"/>
        </w:rPr>
        <w:t>三、质量标准</w:t>
      </w:r>
      <w:bookmarkEnd w:id="5"/>
      <w:bookmarkEnd w:id="6"/>
    </w:p>
    <w:p w14:paraId="3CDC1032">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工程质量符合</w:t>
      </w:r>
      <w:r>
        <w:rPr>
          <w:rFonts w:hint="eastAsia" w:ascii="宋体" w:hAnsi="宋体"/>
          <w:color w:val="auto"/>
          <w:szCs w:val="21"/>
          <w:u w:val="none"/>
        </w:rPr>
        <w:t>满足设计要求、国家验收规范，工程质量等级达到合格</w:t>
      </w:r>
      <w:r>
        <w:rPr>
          <w:rFonts w:hint="eastAsia" w:ascii="宋体" w:hAnsi="宋体"/>
          <w:color w:val="auto"/>
          <w:szCs w:val="21"/>
        </w:rPr>
        <w:t>标准。</w:t>
      </w:r>
    </w:p>
    <w:p w14:paraId="52FB8054">
      <w:pPr>
        <w:pStyle w:val="3"/>
        <w:keepNext/>
        <w:keepLines/>
        <w:pageBreakBefore w:val="0"/>
        <w:widowControl w:val="0"/>
        <w:kinsoku/>
        <w:wordWrap/>
        <w:overflowPunct/>
        <w:topLinePunct w:val="0"/>
        <w:autoSpaceDE/>
        <w:autoSpaceDN/>
        <w:bidi w:val="0"/>
        <w:adjustRightInd/>
        <w:snapToGrid/>
        <w:spacing w:before="313" w:beforeLines="100" w:after="157" w:afterLines="50" w:line="360" w:lineRule="auto"/>
        <w:ind w:firstLine="562" w:firstLineChars="200"/>
        <w:jc w:val="left"/>
        <w:textAlignment w:val="auto"/>
        <w:rPr>
          <w:rFonts w:hint="eastAsia" w:ascii="宋体" w:hAnsi="宋体" w:eastAsia="宋体" w:cs="宋体"/>
          <w:color w:val="auto"/>
          <w:sz w:val="28"/>
          <w:szCs w:val="28"/>
        </w:rPr>
      </w:pPr>
      <w:bookmarkStart w:id="7" w:name="_Toc532375576"/>
      <w:bookmarkStart w:id="8" w:name="_Toc532377169"/>
      <w:r>
        <w:rPr>
          <w:rFonts w:hint="eastAsia" w:ascii="宋体" w:hAnsi="宋体" w:eastAsia="宋体" w:cs="宋体"/>
          <w:color w:val="auto"/>
          <w:sz w:val="28"/>
          <w:szCs w:val="28"/>
        </w:rPr>
        <w:t>四、签约合同价与合同价格形式</w:t>
      </w:r>
      <w:bookmarkEnd w:id="7"/>
      <w:bookmarkEnd w:id="8"/>
      <w:r>
        <w:rPr>
          <w:rFonts w:hint="eastAsia" w:ascii="宋体" w:hAnsi="宋体" w:eastAsia="宋体" w:cs="宋体"/>
          <w:color w:val="auto"/>
          <w:sz w:val="28"/>
          <w:szCs w:val="28"/>
        </w:rPr>
        <w:tab/>
      </w:r>
    </w:p>
    <w:p w14:paraId="2DC4DC2C">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1.签约合同价（不含税）为：人民币（大写）</w:t>
      </w:r>
      <w:r>
        <w:rPr>
          <w:rFonts w:hint="eastAsia" w:ascii="宋体" w:hAnsi="宋体"/>
          <w:color w:val="auto"/>
          <w:szCs w:val="21"/>
          <w:lang w:val="en-US" w:eastAsia="zh-CN"/>
        </w:rPr>
        <w:t xml:space="preserve">     </w:t>
      </w:r>
      <w:r>
        <w:rPr>
          <w:rFonts w:ascii="宋体" w:hAnsi="宋体"/>
          <w:color w:val="auto"/>
          <w:szCs w:val="21"/>
        </w:rPr>
        <w:t>（¥</w:t>
      </w:r>
      <w:r>
        <w:rPr>
          <w:rFonts w:hint="eastAsia" w:ascii="宋体" w:hAnsi="宋体"/>
          <w:color w:val="auto"/>
          <w:szCs w:val="21"/>
          <w:u w:val="single"/>
          <w:lang w:val="en-US" w:eastAsia="zh-CN"/>
        </w:rPr>
        <w:t xml:space="preserve">    </w:t>
      </w:r>
      <w:r>
        <w:rPr>
          <w:rFonts w:ascii="宋体" w:hAnsi="宋体"/>
          <w:color w:val="auto"/>
          <w:szCs w:val="21"/>
        </w:rPr>
        <w:t>元）</w:t>
      </w:r>
      <w:r>
        <w:rPr>
          <w:rFonts w:hint="eastAsia" w:ascii="宋体" w:hAnsi="宋体"/>
          <w:color w:val="auto"/>
          <w:szCs w:val="21"/>
        </w:rPr>
        <w:t>；</w:t>
      </w:r>
      <w:r>
        <w:rPr>
          <w:rFonts w:hint="eastAsia" w:ascii="宋体" w:hAnsi="宋体"/>
          <w:color w:val="auto"/>
          <w:szCs w:val="21"/>
          <w:lang w:val="en-US" w:eastAsia="zh-CN"/>
        </w:rPr>
        <w:t>设计费</w:t>
      </w:r>
      <w:r>
        <w:rPr>
          <w:rFonts w:hint="eastAsia" w:ascii="宋体" w:hAnsi="宋体"/>
          <w:color w:val="auto"/>
          <w:szCs w:val="21"/>
        </w:rPr>
        <w:t>税率为</w:t>
      </w:r>
      <w:r>
        <w:rPr>
          <w:rFonts w:hint="eastAsia" w:ascii="宋体" w:hAnsi="宋体"/>
          <w:color w:val="auto"/>
          <w:szCs w:val="21"/>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安装施工</w:t>
      </w:r>
      <w:r>
        <w:rPr>
          <w:rFonts w:hint="eastAsia" w:ascii="宋体" w:hAnsi="宋体"/>
          <w:color w:val="auto"/>
          <w:szCs w:val="21"/>
        </w:rPr>
        <w:t>税率为</w:t>
      </w:r>
      <w:r>
        <w:rPr>
          <w:rFonts w:hint="eastAsia" w:ascii="宋体" w:hAnsi="宋体"/>
          <w:color w:val="auto"/>
          <w:szCs w:val="21"/>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s="宋体"/>
          <w:snapToGrid w:val="0"/>
          <w:color w:val="auto"/>
          <w:kern w:val="0"/>
          <w:szCs w:val="21"/>
        </w:rPr>
        <w:t>增值税</w:t>
      </w:r>
      <w:r>
        <w:rPr>
          <w:rFonts w:hint="eastAsia" w:ascii="宋体" w:hAnsi="宋体" w:cs="宋体"/>
          <w:snapToGrid w:val="0"/>
          <w:color w:val="auto"/>
          <w:kern w:val="0"/>
          <w:szCs w:val="21"/>
          <w:lang w:val="en-US" w:eastAsia="zh-CN"/>
        </w:rPr>
        <w:t>专用发票，</w:t>
      </w:r>
      <w:r>
        <w:rPr>
          <w:rFonts w:hint="eastAsia" w:ascii="宋体" w:hAnsi="宋体"/>
          <w:color w:val="auto"/>
          <w:szCs w:val="21"/>
        </w:rPr>
        <w:t>如遇国家税率调整则按新税率执行。</w:t>
      </w:r>
      <w:r>
        <w:rPr>
          <w:rFonts w:hint="eastAsia" w:ascii="宋体" w:hAnsi="宋体" w:cs="宋体"/>
          <w:snapToGrid w:val="0"/>
          <w:color w:val="auto"/>
          <w:kern w:val="0"/>
          <w:szCs w:val="21"/>
        </w:rPr>
        <w:t>增值税税费按国税局开具的增值税专用发票上的税额确定，由发包人另行支付</w:t>
      </w:r>
      <w:r>
        <w:rPr>
          <w:rFonts w:hint="eastAsia" w:ascii="宋体" w:hAnsi="宋体"/>
          <w:color w:val="auto"/>
          <w:szCs w:val="21"/>
        </w:rPr>
        <w:t>。除增值税以外的附加税等其他税费包含在投标报价中。</w:t>
      </w:r>
    </w:p>
    <w:p w14:paraId="470B883D">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2</w:t>
      </w:r>
      <w:r>
        <w:rPr>
          <w:rFonts w:ascii="宋体" w:hAnsi="宋体"/>
          <w:color w:val="auto"/>
          <w:szCs w:val="21"/>
        </w:rPr>
        <w:t>.合同价格形式：</w:t>
      </w:r>
      <w:r>
        <w:rPr>
          <w:rFonts w:hint="eastAsia" w:ascii="宋体" w:hAnsi="宋体" w:eastAsia="宋体" w:cs="Times New Roman"/>
          <w:color w:val="auto"/>
          <w:kern w:val="2"/>
          <w:sz w:val="21"/>
          <w:szCs w:val="21"/>
          <w:highlight w:val="none"/>
          <w:u w:val="single"/>
          <w:lang w:val="en-US" w:eastAsia="zh-CN" w:bidi="ar-SA"/>
        </w:rPr>
        <w:t xml:space="preserve">            </w:t>
      </w:r>
      <w:r>
        <w:rPr>
          <w:rFonts w:ascii="宋体" w:hAnsi="宋体"/>
          <w:color w:val="auto"/>
          <w:szCs w:val="21"/>
          <w:highlight w:val="none"/>
          <w:u w:val="single"/>
        </w:rPr>
        <w:t xml:space="preserve"> </w:t>
      </w:r>
      <w:r>
        <w:rPr>
          <w:rFonts w:hint="eastAsia" w:ascii="宋体" w:hAnsi="宋体"/>
          <w:color w:val="auto"/>
          <w:szCs w:val="21"/>
        </w:rPr>
        <w:t>。</w:t>
      </w:r>
    </w:p>
    <w:p w14:paraId="7E046F04">
      <w:pPr>
        <w:pStyle w:val="3"/>
        <w:keepNext/>
        <w:keepLines/>
        <w:pageBreakBefore w:val="0"/>
        <w:widowControl w:val="0"/>
        <w:kinsoku/>
        <w:wordWrap/>
        <w:overflowPunct/>
        <w:topLinePunct w:val="0"/>
        <w:autoSpaceDE/>
        <w:autoSpaceDN/>
        <w:bidi w:val="0"/>
        <w:adjustRightInd/>
        <w:snapToGrid/>
        <w:spacing w:before="313" w:beforeLines="100" w:after="157" w:afterLines="50" w:line="360" w:lineRule="auto"/>
        <w:ind w:firstLine="562" w:firstLineChars="200"/>
        <w:jc w:val="left"/>
        <w:textAlignment w:val="auto"/>
        <w:rPr>
          <w:rFonts w:hint="eastAsia" w:ascii="宋体" w:hAnsi="宋体" w:eastAsia="宋体" w:cs="宋体"/>
          <w:color w:val="auto"/>
          <w:sz w:val="28"/>
          <w:szCs w:val="28"/>
        </w:rPr>
      </w:pPr>
      <w:bookmarkStart w:id="9" w:name="_Toc532375578"/>
      <w:bookmarkStart w:id="10" w:name="_Toc532377171"/>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、合同文件构成</w:t>
      </w:r>
      <w:bookmarkEnd w:id="9"/>
      <w:bookmarkEnd w:id="10"/>
    </w:p>
    <w:p w14:paraId="5B114C8E">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bCs/>
          <w:color w:val="auto"/>
          <w:szCs w:val="21"/>
        </w:rPr>
      </w:pPr>
      <w:r>
        <w:rPr>
          <w:rFonts w:hint="eastAsia" w:ascii="宋体" w:hAnsi="宋体"/>
          <w:bCs/>
          <w:color w:val="auto"/>
          <w:szCs w:val="21"/>
        </w:rPr>
        <w:t>合同由以下文件构成：</w:t>
      </w:r>
    </w:p>
    <w:p w14:paraId="77D4D0D4">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（1）合同协议书；</w:t>
      </w:r>
    </w:p>
    <w:p w14:paraId="429002CE">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（2）中标通知书；</w:t>
      </w:r>
    </w:p>
    <w:p w14:paraId="436C2071">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（3）投标函及投标函附录；</w:t>
      </w:r>
    </w:p>
    <w:p w14:paraId="360FC634">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（4）合同条款及其附件；</w:t>
      </w:r>
    </w:p>
    <w:p w14:paraId="2DCE47D5">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）投标文件（投标函及投标函附录除外）；</w:t>
      </w:r>
    </w:p>
    <w:p w14:paraId="79A77CAE">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）招标文件及补遗文件；</w:t>
      </w:r>
    </w:p>
    <w:p w14:paraId="5616F310">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）技术标准和要求；</w:t>
      </w:r>
    </w:p>
    <w:p w14:paraId="61CEC318">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）图纸；</w:t>
      </w:r>
    </w:p>
    <w:p w14:paraId="2218D671">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）其他合同文件。</w:t>
      </w:r>
    </w:p>
    <w:p w14:paraId="542E6B33">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在合同订立、履行过程中形成的与合同有关的书面形式的文件均构成合同文件组成部分。</w:t>
      </w:r>
    </w:p>
    <w:p w14:paraId="6091BF7C">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olor w:val="auto"/>
          <w:szCs w:val="21"/>
        </w:rPr>
      </w:pPr>
      <w:r>
        <w:rPr>
          <w:rFonts w:hint="eastAsia" w:ascii="宋体" w:hAnsi="宋体"/>
          <w:color w:val="auto"/>
          <w:szCs w:val="21"/>
        </w:rPr>
        <w:t>上述各项合同文件包括合同当事人就该项合同文件所作出的补充和修改，属于同一类内容的文件，应以最新签署的为准。</w:t>
      </w:r>
    </w:p>
    <w:p w14:paraId="5C9EA32B">
      <w:pPr>
        <w:pStyle w:val="3"/>
        <w:keepNext/>
        <w:keepLines/>
        <w:pageBreakBefore w:val="0"/>
        <w:widowControl w:val="0"/>
        <w:kinsoku/>
        <w:wordWrap/>
        <w:overflowPunct/>
        <w:topLinePunct w:val="0"/>
        <w:autoSpaceDE/>
        <w:autoSpaceDN/>
        <w:bidi w:val="0"/>
        <w:adjustRightInd/>
        <w:snapToGrid/>
        <w:spacing w:before="313" w:beforeLines="100" w:after="157" w:afterLines="50" w:line="360" w:lineRule="auto"/>
        <w:ind w:firstLine="562" w:firstLineChars="200"/>
        <w:jc w:val="left"/>
        <w:textAlignment w:val="auto"/>
        <w:rPr>
          <w:rFonts w:hint="default" w:ascii="宋体" w:hAnsi="宋体" w:eastAsia="宋体" w:cs="宋体"/>
          <w:color w:val="auto"/>
          <w:sz w:val="28"/>
          <w:szCs w:val="28"/>
          <w:lang w:val="en-US" w:eastAsia="zh-CN"/>
        </w:rPr>
      </w:pPr>
      <w:bookmarkStart w:id="11" w:name="_Toc532375585"/>
      <w:bookmarkStart w:id="12" w:name="_Toc532377178"/>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w:t>
      </w:r>
      <w:bookmarkEnd w:id="11"/>
      <w:bookmarkEnd w:id="12"/>
      <w:r>
        <w:rPr>
          <w:rFonts w:hint="eastAsia" w:ascii="宋体" w:hAnsi="宋体" w:eastAsia="宋体" w:cs="宋体"/>
          <w:color w:val="auto"/>
          <w:sz w:val="28"/>
          <w:szCs w:val="28"/>
          <w:lang w:val="en-US" w:eastAsia="zh-CN"/>
        </w:rPr>
        <w:t>其它</w:t>
      </w:r>
    </w:p>
    <w:p w14:paraId="68A64EBD">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b/>
          <w:bCs/>
          <w:color w:val="auto"/>
          <w:szCs w:val="21"/>
        </w:rPr>
      </w:pPr>
      <w:r>
        <w:rPr>
          <w:rFonts w:hint="eastAsia" w:ascii="宋体" w:hAnsi="宋体"/>
          <w:bCs/>
          <w:color w:val="auto"/>
          <w:szCs w:val="21"/>
        </w:rPr>
        <w:t>合同在</w:t>
      </w:r>
      <w:r>
        <w:rPr>
          <w:rFonts w:hint="eastAsia" w:ascii="宋体" w:hAnsi="宋体" w:eastAsia="宋体" w:cs="Times New Roman"/>
          <w:color w:val="auto"/>
          <w:kern w:val="2"/>
          <w:sz w:val="21"/>
          <w:szCs w:val="21"/>
          <w:highlight w:val="none"/>
          <w:u w:val="single"/>
          <w:lang w:val="en-US" w:eastAsia="zh-CN" w:bidi="ar-SA"/>
        </w:rPr>
        <w:t>万州</w:t>
      </w:r>
      <w:r>
        <w:rPr>
          <w:rFonts w:hint="eastAsia" w:ascii="宋体" w:hAnsi="宋体"/>
          <w:bCs/>
          <w:color w:val="auto"/>
          <w:szCs w:val="21"/>
        </w:rPr>
        <w:t>签订。</w:t>
      </w:r>
      <w:r>
        <w:rPr>
          <w:rFonts w:hint="eastAsia" w:ascii="宋体" w:hAnsi="宋体"/>
          <w:color w:val="auto"/>
          <w:highlight w:val="none"/>
        </w:rPr>
        <w:t>本协议书一式</w:t>
      </w:r>
      <w:r>
        <w:rPr>
          <w:rFonts w:hint="eastAsia" w:ascii="宋体" w:hAnsi="宋体" w:eastAsia="宋体" w:cs="Times New Roman"/>
          <w:color w:val="auto"/>
          <w:kern w:val="2"/>
          <w:sz w:val="21"/>
          <w:szCs w:val="21"/>
          <w:highlight w:val="none"/>
          <w:u w:val="single"/>
          <w:lang w:val="en-US" w:eastAsia="zh-CN" w:bidi="ar-SA"/>
        </w:rPr>
        <w:t>陆</w:t>
      </w:r>
      <w:r>
        <w:rPr>
          <w:rFonts w:hint="eastAsia" w:ascii="宋体" w:hAnsi="宋体"/>
          <w:color w:val="auto"/>
          <w:highlight w:val="none"/>
        </w:rPr>
        <w:t>份，</w:t>
      </w:r>
      <w:r>
        <w:rPr>
          <w:rFonts w:hint="eastAsia" w:ascii="宋体" w:hAnsi="宋体"/>
          <w:color w:val="auto"/>
          <w:highlight w:val="none"/>
          <w:lang w:eastAsia="zh-CN"/>
        </w:rPr>
        <w:t>发包人执</w:t>
      </w:r>
      <w:r>
        <w:rPr>
          <w:rFonts w:hint="eastAsia" w:ascii="宋体" w:hAnsi="宋体" w:eastAsia="宋体" w:cs="Times New Roman"/>
          <w:color w:val="auto"/>
          <w:kern w:val="2"/>
          <w:sz w:val="21"/>
          <w:szCs w:val="21"/>
          <w:highlight w:val="none"/>
          <w:u w:val="single"/>
          <w:lang w:val="en-US" w:eastAsia="zh-CN" w:bidi="ar-SA"/>
        </w:rPr>
        <w:t>肆</w:t>
      </w:r>
      <w:r>
        <w:rPr>
          <w:rFonts w:hint="eastAsia" w:ascii="宋体" w:hAnsi="宋体"/>
          <w:color w:val="auto"/>
          <w:highlight w:val="none"/>
          <w:lang w:eastAsia="zh-CN"/>
        </w:rPr>
        <w:t>份，承包人执</w:t>
      </w:r>
      <w:r>
        <w:rPr>
          <w:rFonts w:hint="eastAsia" w:ascii="宋体" w:hAnsi="宋体"/>
          <w:color w:val="auto"/>
          <w:highlight w:val="none"/>
          <w:u w:val="single"/>
          <w:lang w:val="en-US" w:eastAsia="zh-CN"/>
        </w:rPr>
        <w:t xml:space="preserve"> </w:t>
      </w:r>
      <w:r>
        <w:rPr>
          <w:rFonts w:hint="eastAsia" w:ascii="宋体" w:hAnsi="宋体" w:eastAsia="宋体" w:cs="Times New Roman"/>
          <w:color w:val="auto"/>
          <w:kern w:val="2"/>
          <w:sz w:val="21"/>
          <w:szCs w:val="21"/>
          <w:highlight w:val="none"/>
          <w:u w:val="single"/>
          <w:lang w:val="en-US" w:eastAsia="zh-CN" w:bidi="ar-SA"/>
        </w:rPr>
        <w:t>贰</w:t>
      </w:r>
      <w:r>
        <w:rPr>
          <w:rFonts w:hint="eastAsia" w:ascii="宋体" w:hAnsi="宋体"/>
          <w:color w:val="auto"/>
          <w:highlight w:val="none"/>
        </w:rPr>
        <w:t xml:space="preserve">份。 </w:t>
      </w:r>
      <w:r>
        <w:rPr>
          <w:rFonts w:hint="eastAsia" w:ascii="宋体" w:hAnsi="宋体" w:cs="宋体"/>
          <w:color w:val="auto"/>
          <w:szCs w:val="21"/>
          <w:highlight w:val="none"/>
        </w:rPr>
        <w:t>双方签字并加盖本单位公章后生效。</w:t>
      </w:r>
      <w:r>
        <w:rPr>
          <w:rFonts w:hint="eastAsia" w:ascii="宋体" w:hAnsi="宋体"/>
          <w:bCs/>
          <w:color w:val="auto"/>
          <w:szCs w:val="21"/>
        </w:rPr>
        <w:t>合同未尽事宜，合同当事人另行签订补充协议，补充协议是合同的组成部分。</w:t>
      </w:r>
    </w:p>
    <w:p w14:paraId="62E81F64">
      <w:pPr>
        <w:pStyle w:val="2"/>
        <w:rPr>
          <w:color w:val="auto"/>
        </w:rPr>
      </w:pPr>
    </w:p>
    <w:p w14:paraId="1666A4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r>
        <w:rPr>
          <w:rFonts w:hint="eastAsia" w:ascii="宋体" w:hAnsi="宋体"/>
          <w:bCs/>
          <w:color w:val="auto"/>
          <w:szCs w:val="21"/>
        </w:rPr>
        <w:t>（以下为签字盖章页）。</w:t>
      </w:r>
    </w:p>
    <w:p w14:paraId="558B09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p>
    <w:p w14:paraId="6BB709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p>
    <w:p w14:paraId="071999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p>
    <w:p w14:paraId="6F1E0B39">
      <w:pPr>
        <w:pStyle w:val="2"/>
        <w:rPr>
          <w:rFonts w:hint="eastAsia" w:ascii="宋体" w:hAnsi="宋体"/>
          <w:bCs/>
          <w:color w:val="auto"/>
          <w:szCs w:val="21"/>
        </w:rPr>
      </w:pPr>
    </w:p>
    <w:p w14:paraId="1E6F31E5">
      <w:pPr>
        <w:rPr>
          <w:rFonts w:hint="eastAsia" w:ascii="宋体" w:hAnsi="宋体"/>
          <w:bCs/>
          <w:color w:val="auto"/>
          <w:szCs w:val="21"/>
        </w:rPr>
      </w:pPr>
    </w:p>
    <w:p w14:paraId="696C5FB5">
      <w:pPr>
        <w:pStyle w:val="2"/>
        <w:rPr>
          <w:rFonts w:hint="eastAsia" w:ascii="宋体" w:hAnsi="宋体"/>
          <w:bCs/>
          <w:color w:val="auto"/>
          <w:szCs w:val="21"/>
        </w:rPr>
      </w:pPr>
    </w:p>
    <w:p w14:paraId="44489725">
      <w:pPr>
        <w:rPr>
          <w:rFonts w:hint="eastAsia" w:ascii="宋体" w:hAnsi="宋体"/>
          <w:bCs/>
          <w:color w:val="auto"/>
          <w:szCs w:val="21"/>
        </w:rPr>
      </w:pPr>
    </w:p>
    <w:p w14:paraId="32BC0D51">
      <w:pPr>
        <w:pStyle w:val="2"/>
        <w:rPr>
          <w:rFonts w:hint="eastAsia" w:ascii="宋体" w:hAnsi="宋体"/>
          <w:bCs/>
          <w:color w:val="auto"/>
          <w:szCs w:val="21"/>
        </w:rPr>
      </w:pPr>
    </w:p>
    <w:p w14:paraId="06579907">
      <w:pPr>
        <w:rPr>
          <w:rFonts w:hint="eastAsia" w:ascii="宋体" w:hAnsi="宋体"/>
          <w:bCs/>
          <w:color w:val="auto"/>
          <w:szCs w:val="21"/>
        </w:rPr>
      </w:pPr>
    </w:p>
    <w:p w14:paraId="0FA5E3FB">
      <w:pPr>
        <w:pStyle w:val="2"/>
        <w:rPr>
          <w:rFonts w:hint="eastAsia" w:ascii="宋体" w:hAnsi="宋体"/>
          <w:bCs/>
          <w:color w:val="auto"/>
          <w:szCs w:val="21"/>
        </w:rPr>
      </w:pPr>
    </w:p>
    <w:p w14:paraId="4BCD54A6">
      <w:pPr>
        <w:rPr>
          <w:rFonts w:hint="eastAsia" w:ascii="宋体" w:hAnsi="宋体"/>
          <w:bCs/>
          <w:color w:val="auto"/>
          <w:szCs w:val="21"/>
        </w:rPr>
      </w:pPr>
    </w:p>
    <w:p w14:paraId="7D355542">
      <w:pPr>
        <w:pStyle w:val="2"/>
        <w:rPr>
          <w:rFonts w:hint="eastAsia"/>
        </w:rPr>
      </w:pPr>
    </w:p>
    <w:p w14:paraId="2BC08775">
      <w:pPr>
        <w:pStyle w:val="2"/>
        <w:keepNext w:val="0"/>
        <w:keepLines w:val="0"/>
        <w:pageBreakBefore w:val="0"/>
        <w:widowControl w:val="0"/>
        <w:kinsoku/>
        <w:wordWrap/>
        <w:overflowPunct/>
        <w:topLinePunct w:val="0"/>
        <w:autoSpaceDE/>
        <w:autoSpaceDN/>
        <w:bidi w:val="0"/>
        <w:adjustRightInd/>
        <w:snapToGrid/>
        <w:textAlignment w:val="auto"/>
        <w:rPr>
          <w:color w:val="auto"/>
        </w:rPr>
      </w:pPr>
    </w:p>
    <w:p w14:paraId="5AE99912">
      <w:pPr>
        <w:keepNext w:val="0"/>
        <w:keepLines w:val="0"/>
        <w:pageBreakBefore w:val="0"/>
        <w:widowControl w:val="0"/>
        <w:kinsoku/>
        <w:wordWrap/>
        <w:overflowPunct/>
        <w:topLinePunct w:val="0"/>
        <w:autoSpaceDE/>
        <w:autoSpaceDN/>
        <w:bidi w:val="0"/>
        <w:adjustRightInd/>
        <w:snapToGrid/>
        <w:textAlignment w:val="auto"/>
        <w:rPr>
          <w:color w:val="auto"/>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713"/>
        <w:gridCol w:w="4595"/>
      </w:tblGrid>
      <w:tr w14:paraId="5095CC2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5" w:hRule="atLeast"/>
          <w:jc w:val="center"/>
        </w:trPr>
        <w:tc>
          <w:tcPr>
            <w:tcW w:w="4713" w:type="dxa"/>
            <w:noWrap w:val="0"/>
            <w:vAlign w:val="center"/>
          </w:tcPr>
          <w:p w14:paraId="6BC0514D">
            <w:pPr>
              <w:widowControl/>
              <w:spacing w:line="36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lang w:val="en-US" w:eastAsia="zh-CN"/>
              </w:rPr>
              <w:t>甲</w:t>
            </w:r>
            <w:r>
              <w:rPr>
                <w:rFonts w:hint="eastAsia" w:ascii="方正仿宋_GBK" w:hAnsi="方正仿宋_GBK" w:eastAsia="方正仿宋_GBK" w:cs="方正仿宋_GBK"/>
                <w:b/>
                <w:color w:val="auto"/>
                <w:sz w:val="24"/>
                <w:highlight w:val="none"/>
              </w:rPr>
              <w:t xml:space="preserve">      方</w:t>
            </w:r>
          </w:p>
        </w:tc>
        <w:tc>
          <w:tcPr>
            <w:tcW w:w="4595" w:type="dxa"/>
            <w:noWrap w:val="0"/>
            <w:vAlign w:val="center"/>
          </w:tcPr>
          <w:p w14:paraId="2BF36ED3">
            <w:pPr>
              <w:widowControl/>
              <w:spacing w:line="36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lang w:val="en-US" w:eastAsia="zh-CN"/>
              </w:rPr>
              <w:t>乙</w:t>
            </w:r>
            <w:r>
              <w:rPr>
                <w:rFonts w:hint="eastAsia" w:ascii="方正仿宋_GBK" w:hAnsi="方正仿宋_GBK" w:eastAsia="方正仿宋_GBK" w:cs="方正仿宋_GBK"/>
                <w:b/>
                <w:color w:val="auto"/>
                <w:sz w:val="24"/>
                <w:highlight w:val="none"/>
              </w:rPr>
              <w:t xml:space="preserve">      方</w:t>
            </w:r>
          </w:p>
        </w:tc>
      </w:tr>
      <w:tr w14:paraId="1D5616B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4713" w:type="dxa"/>
            <w:noWrap w:val="0"/>
            <w:vAlign w:val="top"/>
          </w:tcPr>
          <w:p w14:paraId="3BBB56D6">
            <w:pPr>
              <w:keepNext w:val="0"/>
              <w:keepLines w:val="0"/>
              <w:pageBreakBefore w:val="0"/>
              <w:widowControl w:val="0"/>
              <w:kinsoku/>
              <w:wordWrap/>
              <w:overflowPunct/>
              <w:topLinePunct w:val="0"/>
              <w:autoSpaceDE/>
              <w:autoSpaceDN/>
              <w:bidi w:val="0"/>
              <w:adjustRightInd/>
              <w:snapToGrid/>
              <w:spacing w:line="480" w:lineRule="exact"/>
              <w:ind w:left="1200" w:hanging="1200" w:hangingChars="500"/>
              <w:jc w:val="left"/>
              <w:textAlignment w:val="auto"/>
              <w:rPr>
                <w:rFonts w:hint="default" w:ascii="方正仿宋_GBK" w:hAnsi="方正仿宋_GBK" w:eastAsia="方正仿宋_GBK" w:cs="方正仿宋_GBK"/>
                <w:bCs/>
                <w:color w:val="auto"/>
                <w:sz w:val="24"/>
                <w:highlight w:val="none"/>
                <w:lang w:val="en-US" w:eastAsia="zh-CN"/>
              </w:rPr>
            </w:pPr>
            <w:r>
              <w:rPr>
                <w:rFonts w:hint="eastAsia" w:ascii="方正仿宋_GBK" w:hAnsi="方正仿宋_GBK" w:eastAsia="方正仿宋_GBK" w:cs="方正仿宋_GBK"/>
                <w:bCs/>
                <w:color w:val="auto"/>
                <w:sz w:val="24"/>
                <w:highlight w:val="none"/>
              </w:rPr>
              <w:t>单位（公章）：</w:t>
            </w:r>
            <w:r>
              <w:rPr>
                <w:rFonts w:hint="eastAsia" w:ascii="方正仿宋_GBK" w:hAnsi="方正仿宋_GBK" w:eastAsia="方正仿宋_GBK" w:cs="方正仿宋_GBK"/>
                <w:bCs/>
                <w:color w:val="auto"/>
                <w:sz w:val="24"/>
                <w:highlight w:val="none"/>
                <w:lang w:val="en-US" w:eastAsia="zh-CN"/>
              </w:rPr>
              <w:t xml:space="preserve"> </w:t>
            </w:r>
          </w:p>
        </w:tc>
        <w:tc>
          <w:tcPr>
            <w:tcW w:w="4595" w:type="dxa"/>
            <w:noWrap w:val="0"/>
            <w:vAlign w:val="top"/>
          </w:tcPr>
          <w:p w14:paraId="7ADD44F9">
            <w:pPr>
              <w:spacing w:line="480" w:lineRule="exact"/>
              <w:ind w:left="1440" w:hanging="1440" w:hangingChars="600"/>
              <w:rPr>
                <w:rFonts w:hint="default" w:ascii="方正仿宋_GBK" w:hAnsi="方正仿宋_GBK" w:eastAsia="方正仿宋_GBK" w:cs="方正仿宋_GBK"/>
                <w:bCs/>
                <w:color w:val="auto"/>
                <w:sz w:val="24"/>
                <w:highlight w:val="none"/>
                <w:lang w:val="en-US" w:eastAsia="zh-CN"/>
              </w:rPr>
            </w:pPr>
            <w:r>
              <w:rPr>
                <w:rFonts w:hint="eastAsia" w:ascii="方正仿宋_GBK" w:hAnsi="方正仿宋_GBK" w:eastAsia="方正仿宋_GBK" w:cs="方正仿宋_GBK"/>
                <w:bCs/>
                <w:color w:val="auto"/>
                <w:sz w:val="24"/>
                <w:highlight w:val="none"/>
              </w:rPr>
              <w:t>单位（公章）：</w:t>
            </w:r>
          </w:p>
        </w:tc>
      </w:tr>
      <w:tr w14:paraId="1B8C166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2" w:hRule="atLeast"/>
          <w:jc w:val="center"/>
        </w:trPr>
        <w:tc>
          <w:tcPr>
            <w:tcW w:w="4713" w:type="dxa"/>
            <w:noWrap w:val="0"/>
            <w:vAlign w:val="top"/>
          </w:tcPr>
          <w:p w14:paraId="2F8FF739">
            <w:pPr>
              <w:tabs>
                <w:tab w:val="left" w:pos="405"/>
              </w:tabs>
              <w:spacing w:line="460" w:lineRule="exact"/>
              <w:rPr>
                <w:rFonts w:hint="eastAsia" w:ascii="宋体" w:hAnsi="宋体" w:eastAsia="方正仿宋_GBK" w:cs="宋体"/>
                <w:color w:val="000000"/>
                <w:szCs w:val="21"/>
                <w:u w:val="none"/>
                <w:lang w:val="en-US" w:eastAsia="zh-CN"/>
              </w:rPr>
            </w:pPr>
            <w:r>
              <w:rPr>
                <w:rFonts w:hint="eastAsia" w:ascii="方正仿宋_GBK" w:hAnsi="方正仿宋_GBK" w:eastAsia="方正仿宋_GBK" w:cs="方正仿宋_GBK"/>
                <w:bCs/>
                <w:color w:val="auto"/>
                <w:sz w:val="24"/>
                <w:highlight w:val="none"/>
              </w:rPr>
              <w:t>地址：</w:t>
            </w:r>
            <w:r>
              <w:rPr>
                <w:rFonts w:hint="eastAsia" w:ascii="方正仿宋_GBK" w:hAnsi="方正仿宋_GBK" w:eastAsia="方正仿宋_GBK" w:cs="方正仿宋_GBK"/>
                <w:bCs/>
                <w:color w:val="auto"/>
                <w:sz w:val="24"/>
                <w:highlight w:val="none"/>
                <w:lang w:val="en-US" w:eastAsia="zh-CN"/>
              </w:rPr>
              <w:t xml:space="preserve"> </w:t>
            </w:r>
          </w:p>
          <w:p w14:paraId="3993466C">
            <w:pPr>
              <w:spacing w:line="480" w:lineRule="exact"/>
              <w:rPr>
                <w:rFonts w:ascii="方正仿宋_GBK" w:hAnsi="方正仿宋_GBK" w:eastAsia="方正仿宋_GBK" w:cs="方正仿宋_GBK"/>
                <w:bCs/>
                <w:color w:val="auto"/>
                <w:sz w:val="24"/>
                <w:highlight w:val="none"/>
              </w:rPr>
            </w:pPr>
          </w:p>
        </w:tc>
        <w:tc>
          <w:tcPr>
            <w:tcW w:w="4595" w:type="dxa"/>
            <w:noWrap w:val="0"/>
            <w:vAlign w:val="top"/>
          </w:tcPr>
          <w:p w14:paraId="3ECAAE25">
            <w:pPr>
              <w:spacing w:line="480" w:lineRule="exact"/>
              <w:rPr>
                <w:rFonts w:hint="default" w:ascii="方正仿宋_GBK" w:hAnsi="方正仿宋_GBK" w:eastAsia="仿宋_GB2312" w:cs="方正仿宋_GBK"/>
                <w:bCs/>
                <w:color w:val="auto"/>
                <w:sz w:val="24"/>
                <w:highlight w:val="none"/>
                <w:lang w:val="en-US" w:eastAsia="zh-CN"/>
              </w:rPr>
            </w:pPr>
            <w:r>
              <w:rPr>
                <w:rFonts w:hint="eastAsia" w:ascii="方正仿宋_GBK" w:hAnsi="方正仿宋_GBK" w:eastAsia="方正仿宋_GBK" w:cs="方正仿宋_GBK"/>
                <w:bCs/>
                <w:color w:val="auto"/>
                <w:sz w:val="24"/>
                <w:highlight w:val="none"/>
              </w:rPr>
              <w:t>地址:</w:t>
            </w:r>
            <w:r>
              <w:rPr>
                <w:rFonts w:hint="eastAsia" w:ascii="仿宋_GB2312" w:hAnsi="宋体" w:eastAsia="仿宋_GB2312"/>
                <w:color w:val="auto"/>
                <w:sz w:val="24"/>
                <w:highlight w:val="none"/>
              </w:rPr>
              <w:t xml:space="preserve"> </w:t>
            </w:r>
          </w:p>
        </w:tc>
      </w:tr>
      <w:tr w14:paraId="6B2CBC3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32" w:hRule="atLeast"/>
          <w:jc w:val="center"/>
        </w:trPr>
        <w:tc>
          <w:tcPr>
            <w:tcW w:w="4713" w:type="dxa"/>
            <w:noWrap w:val="0"/>
            <w:vAlign w:val="top"/>
          </w:tcPr>
          <w:p w14:paraId="28A2240B">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法定代表人或</w:t>
            </w:r>
          </w:p>
        </w:tc>
        <w:tc>
          <w:tcPr>
            <w:tcW w:w="4595" w:type="dxa"/>
            <w:noWrap w:val="0"/>
            <w:vAlign w:val="top"/>
          </w:tcPr>
          <w:p w14:paraId="41BA661A">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法定代表人或</w:t>
            </w:r>
          </w:p>
        </w:tc>
      </w:tr>
      <w:tr w14:paraId="27DB4E82">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2" w:hRule="atLeast"/>
          <w:jc w:val="center"/>
        </w:trPr>
        <w:tc>
          <w:tcPr>
            <w:tcW w:w="4713" w:type="dxa"/>
            <w:noWrap w:val="0"/>
            <w:vAlign w:val="top"/>
          </w:tcPr>
          <w:p w14:paraId="47396849">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 xml:space="preserve">其授权代表（签名）： </w:t>
            </w:r>
          </w:p>
        </w:tc>
        <w:tc>
          <w:tcPr>
            <w:tcW w:w="4595" w:type="dxa"/>
            <w:noWrap w:val="0"/>
            <w:vAlign w:val="top"/>
          </w:tcPr>
          <w:p w14:paraId="1178D015">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 xml:space="preserve">其授权代表（签名）： </w:t>
            </w:r>
          </w:p>
        </w:tc>
      </w:tr>
      <w:tr w14:paraId="3173074C">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2" w:hRule="atLeast"/>
          <w:jc w:val="center"/>
        </w:trPr>
        <w:tc>
          <w:tcPr>
            <w:tcW w:w="4713" w:type="dxa"/>
            <w:noWrap w:val="0"/>
            <w:vAlign w:val="top"/>
          </w:tcPr>
          <w:p w14:paraId="1FC60F98">
            <w:pPr>
              <w:spacing w:line="480" w:lineRule="exact"/>
              <w:rPr>
                <w:rFonts w:hint="default" w:ascii="方正仿宋_GBK" w:hAnsi="方正仿宋_GBK" w:eastAsia="方正仿宋_GBK" w:cs="方正仿宋_GBK"/>
                <w:bCs/>
                <w:color w:val="auto"/>
                <w:sz w:val="24"/>
                <w:highlight w:val="none"/>
                <w:lang w:val="en-US" w:eastAsia="zh-CN"/>
              </w:rPr>
            </w:pPr>
            <w:r>
              <w:rPr>
                <w:rFonts w:hint="eastAsia" w:ascii="方正仿宋_GBK" w:hAnsi="方正仿宋_GBK" w:eastAsia="方正仿宋_GBK" w:cs="方正仿宋_GBK"/>
                <w:bCs/>
                <w:color w:val="auto"/>
                <w:sz w:val="24"/>
                <w:highlight w:val="none"/>
                <w:lang w:eastAsia="zh-CN"/>
              </w:rPr>
              <w:t>签定日期：</w:t>
            </w:r>
            <w:r>
              <w:rPr>
                <w:rFonts w:hint="eastAsia" w:ascii="方正仿宋_GBK" w:hAnsi="方正仿宋_GBK" w:eastAsia="方正仿宋_GBK" w:cs="方正仿宋_GBK"/>
                <w:bCs/>
                <w:color w:val="auto"/>
                <w:sz w:val="24"/>
                <w:highlight w:val="none"/>
                <w:lang w:val="en-US" w:eastAsia="zh-CN"/>
              </w:rPr>
              <w:t>2025 年  月  日</w:t>
            </w:r>
          </w:p>
        </w:tc>
        <w:tc>
          <w:tcPr>
            <w:tcW w:w="4595" w:type="dxa"/>
            <w:noWrap w:val="0"/>
            <w:vAlign w:val="top"/>
          </w:tcPr>
          <w:p w14:paraId="65375883">
            <w:pPr>
              <w:spacing w:line="480" w:lineRule="exact"/>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eastAsia="zh-CN"/>
              </w:rPr>
              <w:t>签定日期：</w:t>
            </w:r>
            <w:r>
              <w:rPr>
                <w:rFonts w:hint="eastAsia" w:ascii="方正仿宋_GBK" w:hAnsi="方正仿宋_GBK" w:eastAsia="方正仿宋_GBK" w:cs="方正仿宋_GBK"/>
                <w:bCs/>
                <w:color w:val="auto"/>
                <w:sz w:val="24"/>
                <w:highlight w:val="none"/>
                <w:lang w:val="en-US" w:eastAsia="zh-CN"/>
              </w:rPr>
              <w:t>2025年  月  日</w:t>
            </w:r>
          </w:p>
        </w:tc>
      </w:tr>
      <w:tr w14:paraId="2153007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5" w:hRule="atLeast"/>
          <w:jc w:val="center"/>
        </w:trPr>
        <w:tc>
          <w:tcPr>
            <w:tcW w:w="4713" w:type="dxa"/>
            <w:noWrap w:val="0"/>
            <w:vAlign w:val="top"/>
          </w:tcPr>
          <w:p w14:paraId="3B4EE695">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电话：</w:t>
            </w:r>
            <w:r>
              <w:rPr>
                <w:rFonts w:hint="eastAsia" w:ascii="宋体" w:hAnsi="宋体" w:eastAsia="宋体" w:cs="宋体"/>
                <w:spacing w:val="-4"/>
                <w:sz w:val="21"/>
                <w:szCs w:val="21"/>
                <w:u w:val="single"/>
                <w:lang w:val="en-US" w:eastAsia="zh-CN"/>
              </w:rPr>
              <w:t xml:space="preserve"> </w:t>
            </w:r>
          </w:p>
        </w:tc>
        <w:tc>
          <w:tcPr>
            <w:tcW w:w="4595" w:type="dxa"/>
            <w:noWrap w:val="0"/>
            <w:vAlign w:val="top"/>
          </w:tcPr>
          <w:p w14:paraId="4D51507D">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电话：</w:t>
            </w:r>
          </w:p>
        </w:tc>
      </w:tr>
      <w:tr w14:paraId="5ECC18E0">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77" w:hRule="atLeast"/>
          <w:jc w:val="center"/>
        </w:trPr>
        <w:tc>
          <w:tcPr>
            <w:tcW w:w="4713" w:type="dxa"/>
            <w:noWrap w:val="0"/>
            <w:vAlign w:val="center"/>
          </w:tcPr>
          <w:p w14:paraId="036560D6">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开户银行：</w:t>
            </w:r>
            <w:r>
              <w:rPr>
                <w:rFonts w:hint="eastAsia" w:ascii="宋体" w:hAnsi="宋体" w:eastAsia="宋体" w:cs="宋体"/>
                <w:spacing w:val="-4"/>
                <w:sz w:val="21"/>
                <w:szCs w:val="21"/>
                <w:u w:val="single"/>
                <w:lang w:val="en-US" w:eastAsia="zh-CN"/>
              </w:rPr>
              <w:t xml:space="preserve"> </w:t>
            </w:r>
          </w:p>
        </w:tc>
        <w:tc>
          <w:tcPr>
            <w:tcW w:w="4595" w:type="dxa"/>
            <w:noWrap w:val="0"/>
            <w:vAlign w:val="top"/>
          </w:tcPr>
          <w:p w14:paraId="4320DC79">
            <w:pPr>
              <w:rPr>
                <w:rFonts w:hint="default" w:ascii="方正仿宋_GBK" w:hAnsi="方正仿宋_GBK" w:eastAsia="方正仿宋_GBK" w:cs="方正仿宋_GBK"/>
                <w:bCs/>
                <w:color w:val="auto"/>
                <w:sz w:val="24"/>
                <w:highlight w:val="none"/>
                <w:lang w:val="en-US" w:eastAsia="zh-CN"/>
              </w:rPr>
            </w:pPr>
            <w:r>
              <w:rPr>
                <w:rFonts w:hint="eastAsia" w:ascii="方正仿宋_GBK" w:hAnsi="方正仿宋_GBK" w:eastAsia="方正仿宋_GBK" w:cs="方正仿宋_GBK"/>
                <w:bCs/>
                <w:color w:val="auto"/>
                <w:sz w:val="24"/>
                <w:highlight w:val="none"/>
              </w:rPr>
              <w:t>开户银行：</w:t>
            </w:r>
          </w:p>
        </w:tc>
      </w:tr>
      <w:tr w14:paraId="2C9FAAB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95" w:hRule="atLeast"/>
          <w:jc w:val="center"/>
        </w:trPr>
        <w:tc>
          <w:tcPr>
            <w:tcW w:w="4713" w:type="dxa"/>
            <w:noWrap w:val="0"/>
            <w:vAlign w:val="center"/>
          </w:tcPr>
          <w:p w14:paraId="22DC40AB">
            <w:pPr>
              <w:spacing w:line="480" w:lineRule="exact"/>
              <w:rPr>
                <w:rFonts w:hint="eastAsia" w:ascii="方正仿宋_GBK" w:hAnsi="方正仿宋_GBK" w:eastAsia="方正仿宋_GBK" w:cs="方正仿宋_GBK"/>
                <w:bCs/>
                <w:color w:val="auto"/>
                <w:sz w:val="24"/>
                <w:highlight w:val="none"/>
                <w:lang w:eastAsia="zh-CN"/>
              </w:rPr>
            </w:pPr>
            <w:r>
              <w:rPr>
                <w:rFonts w:hint="eastAsia" w:ascii="方正仿宋_GBK" w:hAnsi="方正仿宋_GBK" w:eastAsia="方正仿宋_GBK" w:cs="方正仿宋_GBK"/>
                <w:bCs/>
                <w:color w:val="auto"/>
                <w:sz w:val="24"/>
                <w:highlight w:val="none"/>
                <w:lang w:eastAsia="zh-CN"/>
              </w:rPr>
              <w:t>纳税人识别号：</w:t>
            </w:r>
          </w:p>
          <w:p w14:paraId="6B6C77F5">
            <w:pPr>
              <w:spacing w:line="480" w:lineRule="exact"/>
              <w:rPr>
                <w:rFonts w:hint="default" w:ascii="方正仿宋_GBK" w:hAnsi="方正仿宋_GBK" w:eastAsia="方正仿宋_GBK" w:cs="方正仿宋_GBK"/>
                <w:bCs/>
                <w:color w:val="auto"/>
                <w:sz w:val="24"/>
                <w:highlight w:val="none"/>
                <w:lang w:val="en-US" w:eastAsia="zh-CN"/>
              </w:rPr>
            </w:pPr>
            <w:r>
              <w:rPr>
                <w:rFonts w:hint="eastAsia" w:ascii="方正仿宋_GBK" w:hAnsi="方正仿宋_GBK" w:eastAsia="方正仿宋_GBK" w:cs="方正仿宋_GBK"/>
                <w:bCs/>
                <w:color w:val="auto"/>
                <w:sz w:val="24"/>
                <w:highlight w:val="none"/>
                <w:lang w:eastAsia="zh-CN"/>
              </w:rPr>
              <w:t>帐号：</w:t>
            </w:r>
            <w:r>
              <w:rPr>
                <w:rFonts w:hint="eastAsia" w:ascii="方正仿宋_GBK" w:hAnsi="方正仿宋_GBK" w:eastAsia="方正仿宋_GBK" w:cs="方正仿宋_GBK"/>
                <w:bCs/>
                <w:color w:val="auto"/>
                <w:sz w:val="24"/>
                <w:highlight w:val="none"/>
                <w:lang w:val="en-US" w:eastAsia="zh-CN"/>
              </w:rPr>
              <w:t xml:space="preserve"> </w:t>
            </w:r>
          </w:p>
        </w:tc>
        <w:tc>
          <w:tcPr>
            <w:tcW w:w="4595" w:type="dxa"/>
            <w:noWrap w:val="0"/>
            <w:vAlign w:val="top"/>
          </w:tcPr>
          <w:p w14:paraId="2218D6CC">
            <w:pPr>
              <w:spacing w:line="480" w:lineRule="exact"/>
              <w:rPr>
                <w:rFonts w:hint="eastAsia" w:ascii="方正仿宋_GBK" w:hAnsi="方正仿宋_GBK" w:eastAsia="方正仿宋_GBK" w:cs="方正仿宋_GBK"/>
                <w:bCs/>
                <w:color w:val="auto"/>
                <w:sz w:val="24"/>
                <w:highlight w:val="none"/>
                <w:lang w:eastAsia="zh-CN"/>
              </w:rPr>
            </w:pPr>
            <w:r>
              <w:rPr>
                <w:rFonts w:hint="eastAsia" w:ascii="方正仿宋_GBK" w:hAnsi="方正仿宋_GBK" w:eastAsia="方正仿宋_GBK" w:cs="方正仿宋_GBK"/>
                <w:bCs/>
                <w:color w:val="auto"/>
                <w:sz w:val="24"/>
                <w:highlight w:val="none"/>
                <w:lang w:eastAsia="zh-CN"/>
              </w:rPr>
              <w:t>纳税人识别号：</w:t>
            </w:r>
          </w:p>
          <w:p w14:paraId="7FA0139E">
            <w:pPr>
              <w:spacing w:line="480" w:lineRule="exact"/>
              <w:rPr>
                <w:rFonts w:hint="default" w:ascii="方正仿宋_GBK" w:hAnsi="方正仿宋_GBK" w:eastAsia="方正仿宋_GBK" w:cs="方正仿宋_GBK"/>
                <w:bCs/>
                <w:color w:val="auto"/>
                <w:sz w:val="24"/>
                <w:highlight w:val="none"/>
                <w:lang w:val="en-US" w:eastAsia="zh-CN"/>
              </w:rPr>
            </w:pPr>
            <w:r>
              <w:rPr>
                <w:rFonts w:hint="eastAsia" w:ascii="方正仿宋_GBK" w:hAnsi="方正仿宋_GBK" w:eastAsia="方正仿宋_GBK" w:cs="方正仿宋_GBK"/>
                <w:bCs/>
                <w:color w:val="auto"/>
                <w:sz w:val="24"/>
                <w:highlight w:val="none"/>
                <w:lang w:eastAsia="zh-CN"/>
              </w:rPr>
              <w:t>帐号：</w:t>
            </w:r>
          </w:p>
        </w:tc>
      </w:tr>
    </w:tbl>
    <w:p w14:paraId="2FE45DB5">
      <w:pPr>
        <w:rPr>
          <w:rFonts w:hint="eastAsia" w:ascii="宋体" w:hAnsi="宋体"/>
          <w:b/>
          <w:color w:val="auto"/>
          <w:highlight w:val="none"/>
        </w:rPr>
      </w:pPr>
      <w:r>
        <w:rPr>
          <w:color w:val="auto"/>
          <w:highlight w:val="none"/>
        </w:rPr>
        <w:br w:type="page"/>
      </w:r>
      <w:r>
        <w:rPr>
          <w:rFonts w:hint="eastAsia" w:ascii="宋体" w:hAnsi="宋体" w:eastAsia="宋体" w:cs="宋体"/>
          <w:b/>
          <w:color w:val="auto"/>
          <w:kern w:val="0"/>
          <w:sz w:val="28"/>
          <w:szCs w:val="28"/>
          <w:lang w:val="en-US" w:eastAsia="zh-CN" w:bidi="ar-SA"/>
        </w:rPr>
        <w:t>第二部分 合同主要条款</w:t>
      </w:r>
    </w:p>
    <w:p w14:paraId="3526EF41">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13" w:name="_Toc358017171"/>
      <w:bookmarkStart w:id="14" w:name="_Toc298326659"/>
      <w:bookmarkStart w:id="15" w:name="_Toc208891973"/>
      <w:bookmarkStart w:id="16" w:name="_Toc228082536"/>
      <w:bookmarkStart w:id="17" w:name="_Toc208853154"/>
      <w:bookmarkStart w:id="18" w:name="_Toc229824505"/>
      <w:bookmarkStart w:id="19" w:name="_Toc208898054"/>
      <w:bookmarkStart w:id="20" w:name="_Toc438471676"/>
      <w:bookmarkStart w:id="21" w:name="_Toc438482767"/>
      <w:bookmarkStart w:id="22" w:name="_Toc228074013"/>
      <w:bookmarkStart w:id="23" w:name="_Toc227572773"/>
      <w:r>
        <w:rPr>
          <w:rFonts w:hint="eastAsia" w:ascii="宋体" w:hAnsi="宋体" w:eastAsia="宋体"/>
          <w:b/>
          <w:bCs/>
          <w:color w:val="auto"/>
          <w:sz w:val="21"/>
          <w:szCs w:val="21"/>
          <w:highlight w:val="none"/>
          <w:lang w:val="en-US" w:eastAsia="zh-CN"/>
        </w:rPr>
        <w:t>1</w:t>
      </w:r>
      <w:r>
        <w:rPr>
          <w:rFonts w:ascii="宋体" w:hAnsi="宋体" w:eastAsia="宋体"/>
          <w:b/>
          <w:bCs/>
          <w:color w:val="auto"/>
          <w:sz w:val="21"/>
          <w:szCs w:val="21"/>
          <w:highlight w:val="none"/>
        </w:rPr>
        <w:t xml:space="preserve">. </w:t>
      </w:r>
      <w:r>
        <w:rPr>
          <w:rFonts w:hint="eastAsia" w:ascii="宋体" w:hAnsi="宋体" w:eastAsia="宋体"/>
          <w:b/>
          <w:bCs/>
          <w:color w:val="auto"/>
          <w:sz w:val="21"/>
          <w:szCs w:val="21"/>
          <w:highlight w:val="none"/>
        </w:rPr>
        <w:t>名词解释</w:t>
      </w:r>
      <w:bookmarkEnd w:id="13"/>
      <w:bookmarkEnd w:id="14"/>
      <w:bookmarkEnd w:id="15"/>
      <w:bookmarkEnd w:id="16"/>
      <w:bookmarkEnd w:id="17"/>
      <w:bookmarkEnd w:id="18"/>
      <w:bookmarkEnd w:id="19"/>
      <w:bookmarkEnd w:id="20"/>
      <w:bookmarkEnd w:id="21"/>
      <w:bookmarkEnd w:id="22"/>
      <w:bookmarkEnd w:id="23"/>
    </w:p>
    <w:p w14:paraId="6705714B">
      <w:pPr>
        <w:tabs>
          <w:tab w:val="left" w:pos="0"/>
        </w:tabs>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发包人：即项目的执行单位和法人，组织评标、授标、签署合同，接受和保持承包单位提交的保证金，授权合同项目的支付。发包人有权根据合同规定对技术和经济问题作出决定，有权签署和发布通知。</w:t>
      </w:r>
    </w:p>
    <w:p w14:paraId="4CD6AD29">
      <w:pPr>
        <w:spacing w:line="360" w:lineRule="auto"/>
        <w:ind w:firstLine="411" w:firstLineChars="196"/>
        <w:rPr>
          <w:rFonts w:hint="eastAsia" w:ascii="宋体" w:hAnsi="宋体"/>
          <w:color w:val="auto"/>
          <w:szCs w:val="21"/>
          <w:highlight w:val="none"/>
        </w:rPr>
      </w:pPr>
      <w:r>
        <w:rPr>
          <w:rFonts w:hint="eastAsia" w:ascii="宋体" w:hAnsi="宋体"/>
          <w:b w:val="0"/>
          <w:bCs w:val="0"/>
          <w:color w:val="auto"/>
          <w:szCs w:val="21"/>
          <w:highlight w:val="none"/>
        </w:rPr>
        <w:t>承包人：是指</w:t>
      </w:r>
      <w:r>
        <w:rPr>
          <w:rFonts w:hint="eastAsia" w:ascii="宋体" w:hAnsi="宋体"/>
          <w:color w:val="auto"/>
          <w:szCs w:val="21"/>
          <w:highlight w:val="none"/>
        </w:rPr>
        <w:t>已与发包人签订了合同协议书的中标单位。</w:t>
      </w:r>
    </w:p>
    <w:p w14:paraId="50BBD2D9">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24" w:name="_Toc208898055"/>
      <w:bookmarkStart w:id="25" w:name="_Toc228082537"/>
      <w:bookmarkStart w:id="26" w:name="_Toc227572774"/>
      <w:bookmarkStart w:id="27" w:name="_Toc228074014"/>
      <w:bookmarkStart w:id="28" w:name="_Toc208891974"/>
      <w:bookmarkStart w:id="29" w:name="_Toc298326660"/>
      <w:bookmarkStart w:id="30" w:name="_Toc229824506"/>
      <w:bookmarkStart w:id="31" w:name="_Toc438482768"/>
      <w:bookmarkStart w:id="32" w:name="_Toc208853155"/>
      <w:bookmarkStart w:id="33" w:name="_Toc438471677"/>
      <w:bookmarkStart w:id="34" w:name="_Toc358017172"/>
      <w:r>
        <w:rPr>
          <w:rFonts w:ascii="宋体" w:hAnsi="宋体" w:eastAsia="宋体"/>
          <w:b/>
          <w:bCs/>
          <w:color w:val="auto"/>
          <w:sz w:val="21"/>
          <w:szCs w:val="21"/>
          <w:highlight w:val="none"/>
        </w:rPr>
        <w:t>2</w:t>
      </w:r>
      <w:r>
        <w:rPr>
          <w:rFonts w:hint="eastAsia" w:ascii="宋体" w:hAnsi="宋体" w:eastAsia="宋体"/>
          <w:b/>
          <w:bCs/>
          <w:color w:val="auto"/>
          <w:sz w:val="21"/>
          <w:szCs w:val="21"/>
          <w:highlight w:val="none"/>
          <w:lang w:val="en-US" w:eastAsia="zh-CN"/>
        </w:rPr>
        <w:t>.</w:t>
      </w:r>
      <w:r>
        <w:rPr>
          <w:rFonts w:ascii="宋体" w:hAnsi="宋体" w:eastAsia="宋体"/>
          <w:b/>
          <w:bCs/>
          <w:color w:val="auto"/>
          <w:sz w:val="21"/>
          <w:szCs w:val="21"/>
          <w:highlight w:val="none"/>
        </w:rPr>
        <w:t xml:space="preserve"> </w:t>
      </w:r>
      <w:r>
        <w:rPr>
          <w:rFonts w:hint="eastAsia" w:ascii="宋体" w:hAnsi="宋体" w:eastAsia="宋体"/>
          <w:b/>
          <w:bCs/>
          <w:color w:val="auto"/>
          <w:sz w:val="21"/>
          <w:szCs w:val="21"/>
          <w:highlight w:val="none"/>
        </w:rPr>
        <w:t>合同文件</w:t>
      </w:r>
      <w:bookmarkEnd w:id="24"/>
      <w:bookmarkEnd w:id="25"/>
      <w:bookmarkEnd w:id="26"/>
      <w:bookmarkEnd w:id="27"/>
      <w:bookmarkEnd w:id="28"/>
      <w:bookmarkEnd w:id="29"/>
      <w:bookmarkEnd w:id="30"/>
      <w:bookmarkEnd w:id="31"/>
      <w:bookmarkEnd w:id="32"/>
      <w:bookmarkEnd w:id="33"/>
      <w:bookmarkEnd w:id="34"/>
    </w:p>
    <w:p w14:paraId="78FF05A3">
      <w:pPr>
        <w:spacing w:line="360" w:lineRule="auto"/>
        <w:ind w:firstLine="420" w:firstLineChars="200"/>
        <w:rPr>
          <w:rFonts w:hint="eastAsia" w:ascii="宋体" w:hAnsi="宋体"/>
          <w:b w:val="0"/>
          <w:bCs w:val="0"/>
          <w:color w:val="auto"/>
          <w:szCs w:val="21"/>
          <w:highlight w:val="none"/>
        </w:rPr>
      </w:pPr>
      <w:bookmarkStart w:id="35" w:name="_Toc362536166"/>
      <w:bookmarkStart w:id="36" w:name="_Toc228074015"/>
      <w:bookmarkStart w:id="37" w:name="_Toc438471678"/>
      <w:bookmarkStart w:id="38" w:name="_Toc228082538"/>
      <w:bookmarkStart w:id="39" w:name="_Toc438482769"/>
      <w:bookmarkStart w:id="40" w:name="_Toc298326661"/>
      <w:bookmarkStart w:id="41" w:name="_Toc358017173"/>
      <w:bookmarkStart w:id="42" w:name="_Toc227572775"/>
      <w:bookmarkStart w:id="43" w:name="_Toc229824507"/>
      <w:r>
        <w:rPr>
          <w:rFonts w:ascii="宋体" w:hAnsi="宋体"/>
          <w:b w:val="0"/>
          <w:bCs w:val="0"/>
          <w:color w:val="auto"/>
          <w:szCs w:val="21"/>
          <w:highlight w:val="none"/>
        </w:rPr>
        <w:t xml:space="preserve">2.1 </w:t>
      </w:r>
      <w:r>
        <w:rPr>
          <w:rFonts w:hint="eastAsia" w:ascii="宋体" w:hAnsi="宋体"/>
          <w:b w:val="0"/>
          <w:bCs w:val="0"/>
          <w:color w:val="auto"/>
          <w:szCs w:val="21"/>
          <w:highlight w:val="none"/>
        </w:rPr>
        <w:t>语言文字</w:t>
      </w:r>
      <w:bookmarkEnd w:id="35"/>
      <w:bookmarkEnd w:id="36"/>
      <w:bookmarkEnd w:id="37"/>
      <w:bookmarkEnd w:id="38"/>
      <w:bookmarkEnd w:id="39"/>
      <w:bookmarkEnd w:id="40"/>
      <w:bookmarkEnd w:id="41"/>
      <w:bookmarkEnd w:id="42"/>
      <w:bookmarkEnd w:id="43"/>
    </w:p>
    <w:p w14:paraId="3836824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本合同使用的语言文字为汉语文字。</w:t>
      </w:r>
    </w:p>
    <w:p w14:paraId="4609B0A9">
      <w:pPr>
        <w:spacing w:line="360" w:lineRule="auto"/>
        <w:ind w:firstLine="420" w:firstLineChars="200"/>
        <w:rPr>
          <w:rFonts w:hint="eastAsia" w:ascii="宋体" w:hAnsi="宋体"/>
          <w:b w:val="0"/>
          <w:bCs w:val="0"/>
          <w:color w:val="auto"/>
          <w:szCs w:val="21"/>
          <w:highlight w:val="none"/>
        </w:rPr>
      </w:pPr>
      <w:bookmarkStart w:id="44" w:name="_Toc298326662"/>
      <w:bookmarkStart w:id="45" w:name="_Toc358017174"/>
      <w:bookmarkStart w:id="46" w:name="_Toc227572776"/>
      <w:bookmarkStart w:id="47" w:name="_Toc229824508"/>
      <w:bookmarkStart w:id="48" w:name="_Toc362536167"/>
      <w:bookmarkStart w:id="49" w:name="_Toc228082539"/>
      <w:bookmarkStart w:id="50" w:name="_Toc228074016"/>
      <w:bookmarkStart w:id="51" w:name="_Toc438471679"/>
      <w:bookmarkStart w:id="52" w:name="_Toc438482770"/>
      <w:r>
        <w:rPr>
          <w:rFonts w:ascii="宋体" w:hAnsi="宋体"/>
          <w:b w:val="0"/>
          <w:bCs w:val="0"/>
          <w:color w:val="auto"/>
          <w:szCs w:val="21"/>
          <w:highlight w:val="none"/>
        </w:rPr>
        <w:t xml:space="preserve">2.2 </w:t>
      </w:r>
      <w:r>
        <w:rPr>
          <w:rFonts w:hint="eastAsia" w:ascii="宋体" w:hAnsi="宋体"/>
          <w:b w:val="0"/>
          <w:bCs w:val="0"/>
          <w:color w:val="auto"/>
          <w:szCs w:val="21"/>
          <w:highlight w:val="none"/>
        </w:rPr>
        <w:t>合同文件的优先顺序</w:t>
      </w:r>
      <w:bookmarkEnd w:id="44"/>
      <w:bookmarkEnd w:id="45"/>
      <w:bookmarkEnd w:id="46"/>
      <w:bookmarkEnd w:id="47"/>
      <w:bookmarkEnd w:id="48"/>
      <w:bookmarkEnd w:id="49"/>
      <w:bookmarkEnd w:id="50"/>
      <w:bookmarkEnd w:id="51"/>
      <w:bookmarkEnd w:id="52"/>
    </w:p>
    <w:p w14:paraId="58002F0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组成合同的各项文件应能互相解释，互相说明。当合同文件出现含糊不清或不一致时，以日期靠后的为准。除合同另有规定外，解释合同文件的优先顺序如下：</w:t>
      </w:r>
    </w:p>
    <w:p w14:paraId="45F0D566">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a)  </w:t>
      </w:r>
      <w:r>
        <w:rPr>
          <w:rFonts w:hint="eastAsia" w:ascii="宋体" w:hAnsi="宋体"/>
          <w:color w:val="auto"/>
          <w:szCs w:val="21"/>
          <w:highlight w:val="none"/>
        </w:rPr>
        <w:t>合同协议书（包括合同协议书备忘录）；</w:t>
      </w:r>
    </w:p>
    <w:p w14:paraId="61398F8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b)  </w:t>
      </w:r>
      <w:r>
        <w:rPr>
          <w:rFonts w:hint="eastAsia" w:ascii="宋体" w:hAnsi="宋体"/>
          <w:color w:val="auto"/>
          <w:szCs w:val="21"/>
          <w:highlight w:val="none"/>
        </w:rPr>
        <w:t>中标通知书；</w:t>
      </w:r>
    </w:p>
    <w:p w14:paraId="59EE603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c)  </w:t>
      </w:r>
      <w:r>
        <w:rPr>
          <w:rFonts w:hint="eastAsia" w:ascii="宋体" w:hAnsi="宋体"/>
          <w:color w:val="auto"/>
          <w:szCs w:val="21"/>
          <w:highlight w:val="none"/>
        </w:rPr>
        <w:t>投标书；</w:t>
      </w:r>
    </w:p>
    <w:p w14:paraId="451352B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d)  </w:t>
      </w:r>
      <w:r>
        <w:rPr>
          <w:rFonts w:hint="eastAsia" w:ascii="宋体" w:hAnsi="宋体"/>
          <w:color w:val="auto"/>
          <w:szCs w:val="21"/>
          <w:highlight w:val="none"/>
        </w:rPr>
        <w:t>合同条款；</w:t>
      </w:r>
    </w:p>
    <w:p w14:paraId="726E575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e)  </w:t>
      </w:r>
      <w:r>
        <w:rPr>
          <w:rFonts w:hint="eastAsia" w:ascii="宋体" w:hAnsi="宋体"/>
          <w:color w:val="auto"/>
          <w:szCs w:val="21"/>
          <w:highlight w:val="none"/>
        </w:rPr>
        <w:t>技术条款；</w:t>
      </w:r>
    </w:p>
    <w:p w14:paraId="2E2EC48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f)  </w:t>
      </w:r>
      <w:r>
        <w:rPr>
          <w:rFonts w:hint="eastAsia" w:ascii="宋体" w:hAnsi="宋体"/>
          <w:color w:val="auto"/>
          <w:szCs w:val="21"/>
          <w:highlight w:val="none"/>
        </w:rPr>
        <w:t>图纸；</w:t>
      </w:r>
    </w:p>
    <w:p w14:paraId="7362D8B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g)  </w:t>
      </w:r>
      <w:r>
        <w:rPr>
          <w:rFonts w:hint="eastAsia" w:ascii="宋体" w:hAnsi="宋体"/>
          <w:color w:val="auto"/>
          <w:szCs w:val="21"/>
          <w:highlight w:val="none"/>
        </w:rPr>
        <w:t>已标价的工程量清单；</w:t>
      </w:r>
    </w:p>
    <w:p w14:paraId="2E6F7A2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h)  </w:t>
      </w:r>
      <w:r>
        <w:rPr>
          <w:rFonts w:hint="eastAsia" w:ascii="宋体" w:hAnsi="宋体"/>
          <w:color w:val="auto"/>
          <w:szCs w:val="21"/>
          <w:highlight w:val="none"/>
        </w:rPr>
        <w:t>组成合同的其它文件。</w:t>
      </w:r>
    </w:p>
    <w:p w14:paraId="1B581EC2">
      <w:pPr>
        <w:spacing w:line="440" w:lineRule="exact"/>
        <w:ind w:firstLine="420" w:firstLineChars="200"/>
        <w:rPr>
          <w:rFonts w:hint="eastAsia" w:ascii="宋体" w:hAnsi="宋体"/>
          <w:b w:val="0"/>
          <w:bCs w:val="0"/>
          <w:color w:val="auto"/>
          <w:szCs w:val="21"/>
          <w:highlight w:val="none"/>
        </w:rPr>
      </w:pPr>
      <w:bookmarkStart w:id="53" w:name="_Toc229824509"/>
      <w:bookmarkStart w:id="54" w:name="_Toc298326663"/>
      <w:bookmarkStart w:id="55" w:name="_Toc358017175"/>
      <w:bookmarkStart w:id="56" w:name="_Toc362536168"/>
      <w:r>
        <w:rPr>
          <w:rFonts w:hint="eastAsia" w:ascii="宋体" w:hAnsi="宋体"/>
          <w:b w:val="0"/>
          <w:bCs w:val="0"/>
          <w:color w:val="auto"/>
          <w:szCs w:val="21"/>
          <w:highlight w:val="none"/>
        </w:rPr>
        <w:t>2.3工程承包范围：</w:t>
      </w:r>
      <w:bookmarkEnd w:id="53"/>
      <w:bookmarkEnd w:id="54"/>
      <w:bookmarkEnd w:id="55"/>
      <w:bookmarkEnd w:id="56"/>
      <w:bookmarkStart w:id="57" w:name="_Toc229824510"/>
      <w:bookmarkStart w:id="58" w:name="_Toc358017176"/>
      <w:bookmarkStart w:id="59" w:name="_Toc438471680"/>
      <w:bookmarkStart w:id="60" w:name="_Toc208891975"/>
      <w:bookmarkStart w:id="61" w:name="_Toc228082540"/>
      <w:bookmarkStart w:id="62" w:name="_Toc362536169"/>
      <w:bookmarkStart w:id="63" w:name="_Toc227572777"/>
      <w:bookmarkStart w:id="64" w:name="_Toc208898056"/>
      <w:bookmarkStart w:id="65" w:name="_Toc228074017"/>
      <w:bookmarkStart w:id="66" w:name="_Toc208853156"/>
      <w:bookmarkStart w:id="67" w:name="_Toc298326664"/>
      <w:bookmarkStart w:id="68" w:name="_Toc438482771"/>
    </w:p>
    <w:p w14:paraId="41FCAC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Times New Roman"/>
          <w:bCs/>
          <w:color w:val="auto"/>
          <w:szCs w:val="21"/>
          <w:u w:val="none"/>
          <w:lang w:val="en-US" w:eastAsia="zh-CN"/>
        </w:rPr>
      </w:pPr>
      <w:r>
        <w:rPr>
          <w:rFonts w:hint="eastAsia" w:ascii="宋体" w:hAnsi="宋体" w:eastAsia="宋体" w:cs="Times New Roman"/>
          <w:bCs/>
          <w:color w:val="auto"/>
          <w:szCs w:val="21"/>
          <w:u w:val="single"/>
          <w:lang w:val="en-US" w:eastAsia="zh-CN"/>
        </w:rPr>
        <w:t xml:space="preserve">                       </w:t>
      </w:r>
      <w:r>
        <w:rPr>
          <w:rFonts w:hint="eastAsia" w:ascii="宋体" w:hAnsi="宋体" w:eastAsia="宋体" w:cs="Times New Roman"/>
          <w:bCs/>
          <w:color w:val="auto"/>
          <w:szCs w:val="21"/>
          <w:u w:val="none"/>
          <w:lang w:val="en-US" w:eastAsia="zh-CN"/>
        </w:rPr>
        <w:t>。</w:t>
      </w:r>
    </w:p>
    <w:bookmarkEnd w:id="57"/>
    <w:bookmarkEnd w:id="58"/>
    <w:bookmarkEnd w:id="59"/>
    <w:bookmarkEnd w:id="60"/>
    <w:bookmarkEnd w:id="61"/>
    <w:bookmarkEnd w:id="62"/>
    <w:bookmarkEnd w:id="63"/>
    <w:bookmarkEnd w:id="64"/>
    <w:bookmarkEnd w:id="65"/>
    <w:bookmarkEnd w:id="66"/>
    <w:bookmarkEnd w:id="67"/>
    <w:bookmarkEnd w:id="68"/>
    <w:p w14:paraId="77D40BFD">
      <w:pPr>
        <w:pStyle w:val="4"/>
        <w:spacing w:before="0" w:after="0" w:line="360" w:lineRule="auto"/>
        <w:ind w:firstLine="422" w:firstLineChars="200"/>
        <w:jc w:val="both"/>
        <w:outlineLvl w:val="3"/>
        <w:rPr>
          <w:rFonts w:ascii="宋体" w:hAnsi="宋体" w:eastAsia="宋体" w:cs="Times New Roman"/>
          <w:b/>
          <w:bCs/>
          <w:color w:val="auto"/>
          <w:sz w:val="21"/>
          <w:szCs w:val="21"/>
          <w:highlight w:val="none"/>
        </w:rPr>
      </w:pPr>
      <w:bookmarkStart w:id="69" w:name="_Toc532377195"/>
      <w:bookmarkStart w:id="70" w:name="_Toc532375588"/>
      <w:bookmarkStart w:id="71" w:name="_Toc351203509"/>
      <w:bookmarkStart w:id="72" w:name="_Toc296346539"/>
      <w:bookmarkStart w:id="73" w:name="_Toc296503038"/>
      <w:bookmarkStart w:id="74" w:name="_Toc337558739"/>
      <w:bookmarkStart w:id="75" w:name="_Toc438482778"/>
      <w:bookmarkStart w:id="76" w:name="_Toc358017181"/>
      <w:bookmarkStart w:id="77" w:name="_Toc298326669"/>
      <w:bookmarkStart w:id="78" w:name="_Toc438471687"/>
      <w:bookmarkStart w:id="79" w:name="_Toc229824515"/>
      <w:bookmarkStart w:id="80" w:name="_Toc227572782"/>
      <w:bookmarkStart w:id="81" w:name="_Toc228082545"/>
      <w:bookmarkStart w:id="82" w:name="_Toc228074022"/>
      <w:bookmarkStart w:id="83" w:name="_Toc362536174"/>
      <w:r>
        <w:rPr>
          <w:rFonts w:hint="eastAsia" w:ascii="宋体" w:hAnsi="宋体" w:eastAsia="宋体" w:cs="Times New Roman"/>
          <w:b/>
          <w:bCs/>
          <w:color w:val="auto"/>
          <w:sz w:val="21"/>
          <w:szCs w:val="21"/>
          <w:highlight w:val="none"/>
          <w:lang w:val="en-US" w:eastAsia="zh-CN"/>
        </w:rPr>
        <w:t>3</w:t>
      </w:r>
      <w:r>
        <w:rPr>
          <w:rFonts w:hint="eastAsia" w:ascii="宋体" w:hAnsi="宋体" w:eastAsia="宋体" w:cs="Times New Roman"/>
          <w:b/>
          <w:bCs/>
          <w:color w:val="auto"/>
          <w:sz w:val="21"/>
          <w:szCs w:val="21"/>
          <w:highlight w:val="none"/>
        </w:rPr>
        <w:t>. 发包人</w:t>
      </w:r>
      <w:bookmarkEnd w:id="69"/>
      <w:bookmarkEnd w:id="70"/>
      <w:bookmarkEnd w:id="71"/>
    </w:p>
    <w:bookmarkEnd w:id="72"/>
    <w:bookmarkEnd w:id="73"/>
    <w:bookmarkEnd w:id="74"/>
    <w:p w14:paraId="4F0B425E">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84" w:name="_Toc532377196"/>
      <w:bookmarkStart w:id="85" w:name="_Toc351203510"/>
      <w:bookmarkStart w:id="86" w:name="_Toc337558740"/>
      <w:bookmarkStart w:id="87" w:name="_Toc296503039"/>
      <w:bookmarkStart w:id="88" w:name="_Toc296346540"/>
      <w:r>
        <w:rPr>
          <w:rFonts w:hint="eastAsia"/>
          <w:color w:val="auto"/>
          <w:sz w:val="21"/>
          <w:szCs w:val="21"/>
          <w:lang w:val="en-US" w:eastAsia="zh-CN"/>
        </w:rPr>
        <w:t>3</w:t>
      </w:r>
      <w:r>
        <w:rPr>
          <w:rFonts w:hint="eastAsia"/>
          <w:color w:val="auto"/>
          <w:sz w:val="21"/>
          <w:szCs w:val="21"/>
        </w:rPr>
        <w:t>.1 许可或批准</w:t>
      </w:r>
      <w:bookmarkEnd w:id="84"/>
      <w:bookmarkEnd w:id="85"/>
    </w:p>
    <w:p w14:paraId="6CA46ABA">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8B6EADE">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因发包人原因未能及时办理完毕前述许可、批准或备案</w:t>
      </w:r>
      <w:r>
        <w:rPr>
          <w:rFonts w:hint="eastAsia" w:ascii="宋体" w:hAnsi="宋体"/>
          <w:color w:val="auto"/>
          <w:kern w:val="0"/>
          <w:szCs w:val="21"/>
          <w:lang w:eastAsia="zh-CN"/>
        </w:rPr>
        <w:t>，</w:t>
      </w:r>
      <w:r>
        <w:rPr>
          <w:rFonts w:hint="eastAsia" w:ascii="宋体" w:hAnsi="宋体"/>
          <w:color w:val="auto"/>
          <w:kern w:val="0"/>
          <w:szCs w:val="21"/>
          <w:lang w:val="en-US" w:eastAsia="zh-CN"/>
        </w:rPr>
        <w:t>则施工工期应进行顺延</w:t>
      </w:r>
      <w:r>
        <w:rPr>
          <w:rFonts w:hint="eastAsia" w:ascii="宋体" w:hAnsi="宋体"/>
          <w:color w:val="auto"/>
          <w:kern w:val="0"/>
          <w:szCs w:val="21"/>
        </w:rPr>
        <w:t>。</w:t>
      </w:r>
    </w:p>
    <w:p w14:paraId="72C5B3F6">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89" w:name="_Toc532377197"/>
      <w:bookmarkStart w:id="90" w:name="_Toc351203511"/>
      <w:r>
        <w:rPr>
          <w:rFonts w:hint="eastAsia"/>
          <w:color w:val="auto"/>
          <w:sz w:val="21"/>
          <w:szCs w:val="21"/>
          <w:lang w:val="en-US" w:eastAsia="zh-CN"/>
        </w:rPr>
        <w:t>3</w:t>
      </w:r>
      <w:r>
        <w:rPr>
          <w:rFonts w:hint="eastAsia"/>
          <w:color w:val="auto"/>
          <w:sz w:val="21"/>
          <w:szCs w:val="21"/>
        </w:rPr>
        <w:t>.2 发包人代表</w:t>
      </w:r>
      <w:bookmarkEnd w:id="89"/>
      <w:bookmarkEnd w:id="90"/>
    </w:p>
    <w:p w14:paraId="34C1F506">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hint="eastAsia" w:ascii="宋体" w:hAnsi="宋体"/>
          <w:color w:val="auto"/>
          <w:kern w:val="0"/>
          <w:szCs w:val="21"/>
          <w:lang w:val="en-US" w:eastAsia="zh-CN"/>
        </w:rPr>
      </w:pPr>
      <w:r>
        <w:rPr>
          <w:rFonts w:hint="eastAsia" w:ascii="宋体" w:hAnsi="宋体"/>
          <w:color w:val="auto"/>
          <w:kern w:val="0"/>
          <w:szCs w:val="21"/>
          <w:highlight w:val="none"/>
        </w:rPr>
        <w:t>发包人</w:t>
      </w:r>
      <w:r>
        <w:rPr>
          <w:rFonts w:hint="eastAsia" w:ascii="宋体" w:hAnsi="宋体"/>
          <w:color w:val="auto"/>
          <w:kern w:val="0"/>
          <w:szCs w:val="21"/>
          <w:highlight w:val="none"/>
          <w:lang w:val="en-US" w:eastAsia="zh-CN"/>
        </w:rPr>
        <w:t>应</w:t>
      </w:r>
      <w:r>
        <w:rPr>
          <w:rFonts w:hint="eastAsia" w:ascii="宋体" w:hAnsi="宋体"/>
          <w:color w:val="auto"/>
          <w:kern w:val="0"/>
          <w:szCs w:val="21"/>
          <w:highlight w:val="none"/>
        </w:rPr>
        <w:t>派驻施工现场的发包人代表</w:t>
      </w:r>
      <w:r>
        <w:rPr>
          <w:rFonts w:hint="eastAsia" w:ascii="宋体" w:hAnsi="宋体"/>
          <w:color w:val="auto"/>
          <w:kern w:val="0"/>
          <w:szCs w:val="21"/>
          <w:highlight w:val="none"/>
          <w:lang w:val="en-US" w:eastAsia="zh-CN"/>
        </w:rPr>
        <w:t>实行项目监管</w:t>
      </w:r>
      <w:r>
        <w:rPr>
          <w:rFonts w:hint="eastAsia" w:ascii="宋体" w:hAnsi="宋体"/>
          <w:color w:val="auto"/>
          <w:kern w:val="0"/>
          <w:szCs w:val="21"/>
        </w:rPr>
        <w:t>。发包人代表负责处理合同履行过程中与发包人有关的具体事宜。发包人代表在授权范围内的行为由发包人承担法律责任。</w:t>
      </w:r>
      <w:r>
        <w:rPr>
          <w:rFonts w:hint="eastAsia" w:ascii="宋体" w:hAnsi="宋体"/>
          <w:color w:val="auto"/>
          <w:kern w:val="0"/>
          <w:szCs w:val="21"/>
          <w:lang w:val="en-US" w:eastAsia="zh-CN"/>
        </w:rPr>
        <w:t xml:space="preserve"> </w:t>
      </w:r>
    </w:p>
    <w:p w14:paraId="65BD7863">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发包人代表不能按照合同约定履行其职责及义务，并导致合同无法继续正常履行的，承包人可以要求发包人撤换发包人代表。</w:t>
      </w:r>
    </w:p>
    <w:p w14:paraId="5B000603">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不属于法定必须监理的工程，监理人的职权可以由发包人代表或发包人指定的其他人员行使。</w:t>
      </w:r>
    </w:p>
    <w:p w14:paraId="7236F222">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91" w:name="_Toc532377198"/>
      <w:bookmarkStart w:id="92" w:name="_Toc351203512"/>
      <w:r>
        <w:rPr>
          <w:rFonts w:hint="eastAsia"/>
          <w:color w:val="auto"/>
          <w:sz w:val="21"/>
          <w:szCs w:val="21"/>
          <w:lang w:val="en-US" w:eastAsia="zh-CN"/>
        </w:rPr>
        <w:t>3</w:t>
      </w:r>
      <w:r>
        <w:rPr>
          <w:rFonts w:hint="eastAsia"/>
          <w:color w:val="auto"/>
          <w:sz w:val="21"/>
          <w:szCs w:val="21"/>
        </w:rPr>
        <w:t>.3 发包人人员</w:t>
      </w:r>
      <w:bookmarkEnd w:id="91"/>
      <w:bookmarkEnd w:id="92"/>
    </w:p>
    <w:p w14:paraId="2B03304B">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发包人应要求在施工现场的发包人人员遵守法律及有关安全、质量、环境保护、文明施工等规定，并保障承包人免于承受因发包人人员未遵守上述要求给承包人造成的损失和责任。</w:t>
      </w:r>
    </w:p>
    <w:p w14:paraId="72CD44B1">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发包人人员包括发包人代表及其他由发包人派驻施工现场的人员。</w:t>
      </w:r>
      <w:bookmarkEnd w:id="86"/>
      <w:bookmarkEnd w:id="87"/>
      <w:bookmarkEnd w:id="88"/>
    </w:p>
    <w:p w14:paraId="4BCEBC18">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93" w:name="_Toc337558741"/>
      <w:bookmarkStart w:id="94" w:name="_Toc296503040"/>
      <w:bookmarkStart w:id="95" w:name="_Toc532377199"/>
      <w:bookmarkStart w:id="96" w:name="_Toc351203513"/>
      <w:bookmarkStart w:id="97" w:name="_Toc296346541"/>
      <w:r>
        <w:rPr>
          <w:rFonts w:hint="eastAsia"/>
          <w:color w:val="auto"/>
          <w:sz w:val="21"/>
          <w:szCs w:val="21"/>
          <w:lang w:val="en-US" w:eastAsia="zh-CN"/>
        </w:rPr>
        <w:t>3</w:t>
      </w:r>
      <w:r>
        <w:rPr>
          <w:rFonts w:hint="eastAsia"/>
          <w:color w:val="auto"/>
          <w:sz w:val="21"/>
          <w:szCs w:val="21"/>
        </w:rPr>
        <w:t>.4 施工现场、施工条件和基础资料的提供</w:t>
      </w:r>
      <w:bookmarkEnd w:id="93"/>
      <w:bookmarkEnd w:id="94"/>
      <w:bookmarkEnd w:id="95"/>
      <w:bookmarkEnd w:id="96"/>
      <w:bookmarkEnd w:id="97"/>
    </w:p>
    <w:p w14:paraId="7B2CDBEB">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3</w:t>
      </w:r>
      <w:r>
        <w:rPr>
          <w:rFonts w:hint="eastAsia" w:ascii="宋体" w:hAnsi="宋体"/>
          <w:color w:val="auto"/>
          <w:kern w:val="0"/>
          <w:szCs w:val="21"/>
        </w:rPr>
        <w:t>.4.1 提供施工现场</w:t>
      </w:r>
    </w:p>
    <w:p w14:paraId="066FFEE8">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除另有约定外，发包人应最迟于开工日期</w:t>
      </w:r>
      <w:r>
        <w:rPr>
          <w:rFonts w:hint="eastAsia" w:ascii="宋体" w:hAnsi="宋体"/>
          <w:color w:val="auto"/>
          <w:kern w:val="0"/>
          <w:szCs w:val="21"/>
          <w:highlight w:val="none"/>
        </w:rPr>
        <w:t>7天前</w:t>
      </w:r>
      <w:r>
        <w:rPr>
          <w:rFonts w:hint="eastAsia" w:ascii="宋体" w:hAnsi="宋体"/>
          <w:color w:val="auto"/>
          <w:kern w:val="0"/>
          <w:szCs w:val="21"/>
        </w:rPr>
        <w:t>向承包人移交施工现场。</w:t>
      </w:r>
    </w:p>
    <w:p w14:paraId="1A72AF64">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3</w:t>
      </w:r>
      <w:r>
        <w:rPr>
          <w:rFonts w:hint="eastAsia" w:ascii="宋体" w:hAnsi="宋体"/>
          <w:color w:val="auto"/>
          <w:kern w:val="0"/>
          <w:szCs w:val="21"/>
        </w:rPr>
        <w:t>.4.2 提供施工条件</w:t>
      </w:r>
    </w:p>
    <w:p w14:paraId="4560F1F1">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除另有约定外，发包人应负责提供施工所需要的条件，包括：</w:t>
      </w:r>
    </w:p>
    <w:p w14:paraId="776F0E46">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（1）将施工用水、电力、通讯线路等施工所必需的条件接至施工现场内；</w:t>
      </w:r>
    </w:p>
    <w:p w14:paraId="25CEE040">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（2）保证向承包人提供正常施工所需要的进入施工现场的交通条件；</w:t>
      </w:r>
    </w:p>
    <w:p w14:paraId="14AD8AC4">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（3）协调处理施工现场周围地下管线和邻近建筑物、构筑物、古树名木的保护工作，并承担相关费用；</w:t>
      </w:r>
    </w:p>
    <w:p w14:paraId="68D31EF9">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3</w:t>
      </w:r>
      <w:r>
        <w:rPr>
          <w:rFonts w:hint="eastAsia" w:ascii="宋体" w:hAnsi="宋体"/>
          <w:color w:val="auto"/>
          <w:kern w:val="0"/>
          <w:szCs w:val="21"/>
        </w:rPr>
        <w:t>.4.3 提供基础资料</w:t>
      </w:r>
    </w:p>
    <w:p w14:paraId="529C00F0">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C709EC9">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按照法律规定确需在开工后方能提供的基础资料，发包人应尽其努力及时地在相应工程施工前的合理期限内提供，合理期限应以不影响承包人的正常施工为限。</w:t>
      </w:r>
    </w:p>
    <w:p w14:paraId="77A943B8">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3</w:t>
      </w:r>
      <w:r>
        <w:rPr>
          <w:rFonts w:hint="eastAsia" w:ascii="宋体" w:hAnsi="宋体"/>
          <w:color w:val="auto"/>
          <w:kern w:val="0"/>
          <w:szCs w:val="21"/>
        </w:rPr>
        <w:t>.4.4 逾期提供的责任</w:t>
      </w:r>
    </w:p>
    <w:p w14:paraId="294E9790">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因发包人原因未能按合同约定及时向承包人提供施工现场、施工条件、基础资料的，</w:t>
      </w:r>
      <w:r>
        <w:rPr>
          <w:rFonts w:hint="eastAsia" w:ascii="宋体" w:hAnsi="宋体"/>
          <w:color w:val="auto"/>
          <w:kern w:val="0"/>
          <w:szCs w:val="21"/>
          <w:lang w:val="en-US" w:eastAsia="zh-CN"/>
        </w:rPr>
        <w:t>则施工工期应进行顺延</w:t>
      </w:r>
      <w:r>
        <w:rPr>
          <w:rFonts w:hint="eastAsia" w:ascii="宋体" w:hAnsi="宋体"/>
          <w:color w:val="auto"/>
          <w:kern w:val="0"/>
          <w:szCs w:val="21"/>
        </w:rPr>
        <w:t>。</w:t>
      </w:r>
    </w:p>
    <w:p w14:paraId="6D79BD33">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98" w:name="_Toc351203515"/>
      <w:bookmarkStart w:id="99" w:name="_Toc532377201"/>
      <w:r>
        <w:rPr>
          <w:rFonts w:hint="eastAsia"/>
          <w:color w:val="auto"/>
          <w:sz w:val="21"/>
          <w:szCs w:val="21"/>
          <w:lang w:val="en-US" w:eastAsia="zh-CN"/>
        </w:rPr>
        <w:t>3</w:t>
      </w:r>
      <w:r>
        <w:rPr>
          <w:rFonts w:hint="eastAsia"/>
          <w:color w:val="auto"/>
          <w:sz w:val="21"/>
          <w:szCs w:val="21"/>
        </w:rPr>
        <w:t>.</w:t>
      </w:r>
      <w:r>
        <w:rPr>
          <w:rFonts w:hint="eastAsia"/>
          <w:color w:val="auto"/>
          <w:sz w:val="21"/>
          <w:szCs w:val="21"/>
          <w:lang w:val="en-US" w:eastAsia="zh-CN"/>
        </w:rPr>
        <w:t>5</w:t>
      </w:r>
      <w:r>
        <w:rPr>
          <w:rFonts w:hint="eastAsia"/>
          <w:color w:val="auto"/>
          <w:sz w:val="21"/>
          <w:szCs w:val="21"/>
        </w:rPr>
        <w:t>支付合同价款</w:t>
      </w:r>
      <w:bookmarkEnd w:id="98"/>
      <w:bookmarkEnd w:id="99"/>
    </w:p>
    <w:p w14:paraId="70C5E174">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发包人应按合同约定向承包人及时支付合同价款。</w:t>
      </w:r>
    </w:p>
    <w:p w14:paraId="6D1678CD">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100" w:name="_Toc532377202"/>
      <w:bookmarkStart w:id="101" w:name="_Toc351203516"/>
      <w:r>
        <w:rPr>
          <w:rFonts w:hint="eastAsia"/>
          <w:color w:val="auto"/>
          <w:sz w:val="21"/>
          <w:szCs w:val="21"/>
          <w:lang w:val="en-US" w:eastAsia="zh-CN"/>
        </w:rPr>
        <w:t>3</w:t>
      </w:r>
      <w:r>
        <w:rPr>
          <w:rFonts w:hint="eastAsia"/>
          <w:color w:val="auto"/>
          <w:sz w:val="21"/>
          <w:szCs w:val="21"/>
        </w:rPr>
        <w:t>.</w:t>
      </w:r>
      <w:r>
        <w:rPr>
          <w:rFonts w:hint="eastAsia"/>
          <w:color w:val="auto"/>
          <w:sz w:val="21"/>
          <w:szCs w:val="21"/>
          <w:lang w:val="en-US" w:eastAsia="zh-CN"/>
        </w:rPr>
        <w:t>6</w:t>
      </w:r>
      <w:r>
        <w:rPr>
          <w:rFonts w:hint="eastAsia"/>
          <w:color w:val="auto"/>
          <w:sz w:val="21"/>
          <w:szCs w:val="21"/>
        </w:rPr>
        <w:t>组织竣工验收</w:t>
      </w:r>
      <w:bookmarkEnd w:id="100"/>
      <w:bookmarkEnd w:id="101"/>
    </w:p>
    <w:p w14:paraId="2C053F03">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发包人应按合同约定及时组织竣工验收。</w:t>
      </w:r>
    </w:p>
    <w:p w14:paraId="6B1FC86B">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102" w:name="_Toc532377203"/>
      <w:bookmarkStart w:id="103" w:name="_Toc351203517"/>
      <w:r>
        <w:rPr>
          <w:rFonts w:hint="eastAsia"/>
          <w:color w:val="auto"/>
          <w:sz w:val="21"/>
          <w:szCs w:val="21"/>
          <w:lang w:val="en-US" w:eastAsia="zh-CN"/>
        </w:rPr>
        <w:t>3</w:t>
      </w:r>
      <w:r>
        <w:rPr>
          <w:rFonts w:hint="eastAsia"/>
          <w:color w:val="auto"/>
          <w:sz w:val="21"/>
          <w:szCs w:val="21"/>
        </w:rPr>
        <w:t>.</w:t>
      </w:r>
      <w:r>
        <w:rPr>
          <w:rFonts w:hint="eastAsia"/>
          <w:color w:val="auto"/>
          <w:sz w:val="21"/>
          <w:szCs w:val="21"/>
          <w:lang w:val="en-US" w:eastAsia="zh-CN"/>
        </w:rPr>
        <w:t>7</w:t>
      </w:r>
      <w:r>
        <w:rPr>
          <w:rFonts w:hint="eastAsia"/>
          <w:color w:val="auto"/>
          <w:sz w:val="21"/>
          <w:szCs w:val="21"/>
        </w:rPr>
        <w:t xml:space="preserve"> 现场统一管理协议</w:t>
      </w:r>
      <w:bookmarkEnd w:id="102"/>
      <w:bookmarkEnd w:id="103"/>
    </w:p>
    <w:p w14:paraId="0CC9F263">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发包人应与承包人、由发包人直接发包的专业工程的承包人签订施工现场统一管理协议，明确各方的权利义务。</w:t>
      </w:r>
    </w:p>
    <w:p w14:paraId="033ACF4C">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bookmarkStart w:id="104" w:name="_Toc532375589"/>
      <w:bookmarkStart w:id="105" w:name="_Toc532377204"/>
      <w:bookmarkStart w:id="106" w:name="_Toc351203518"/>
      <w:bookmarkStart w:id="107" w:name="_Toc296346546"/>
      <w:bookmarkStart w:id="108" w:name="_Toc337558746"/>
      <w:bookmarkStart w:id="109" w:name="_Toc296503045"/>
      <w:r>
        <w:rPr>
          <w:rFonts w:hint="eastAsia" w:ascii="宋体" w:hAnsi="宋体" w:eastAsia="宋体" w:cs="Times New Roman"/>
          <w:b/>
          <w:bCs/>
          <w:color w:val="auto"/>
          <w:sz w:val="21"/>
          <w:szCs w:val="21"/>
          <w:highlight w:val="none"/>
          <w:lang w:val="en-US" w:eastAsia="zh-CN"/>
        </w:rPr>
        <w:t>4. 承包人</w:t>
      </w:r>
      <w:bookmarkEnd w:id="104"/>
      <w:bookmarkEnd w:id="105"/>
      <w:bookmarkEnd w:id="106"/>
    </w:p>
    <w:bookmarkEnd w:id="107"/>
    <w:bookmarkEnd w:id="108"/>
    <w:bookmarkEnd w:id="109"/>
    <w:p w14:paraId="684DA8A8">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110" w:name="_Toc532377205"/>
      <w:bookmarkStart w:id="111" w:name="_Toc351203519"/>
      <w:bookmarkStart w:id="112" w:name="_Toc296503046"/>
      <w:bookmarkStart w:id="113" w:name="_Toc337558747"/>
      <w:bookmarkStart w:id="114" w:name="_Toc296346547"/>
      <w:r>
        <w:rPr>
          <w:rFonts w:hint="eastAsia"/>
          <w:color w:val="auto"/>
          <w:sz w:val="21"/>
          <w:szCs w:val="21"/>
          <w:lang w:val="en-US" w:eastAsia="zh-CN"/>
        </w:rPr>
        <w:t>4</w:t>
      </w:r>
      <w:r>
        <w:rPr>
          <w:rFonts w:hint="eastAsia"/>
          <w:color w:val="auto"/>
          <w:sz w:val="21"/>
          <w:szCs w:val="21"/>
        </w:rPr>
        <w:t>.1 承包人的一般义务</w:t>
      </w:r>
      <w:bookmarkEnd w:id="110"/>
      <w:bookmarkEnd w:id="111"/>
    </w:p>
    <w:bookmarkEnd w:id="112"/>
    <w:bookmarkEnd w:id="113"/>
    <w:bookmarkEnd w:id="114"/>
    <w:p w14:paraId="41E162B2">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承包人在履行合同过程中应遵守法律和工程建设标准规范，并履行以下义务：</w:t>
      </w:r>
    </w:p>
    <w:p w14:paraId="406323FD">
      <w:pPr>
        <w:keepNext w:val="0"/>
        <w:keepLines w:val="0"/>
        <w:pageBreakBefore w:val="0"/>
        <w:numPr>
          <w:ilvl w:val="0"/>
          <w:numId w:val="2"/>
        </w:numPr>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办理法律规定应由承包人办理的许可和批准，并将办理结果书面报送发包人留存；</w:t>
      </w:r>
    </w:p>
    <w:p w14:paraId="080E88D1">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（2）按法律规定和合同约定完成工程，并在保修期内承担保修义务；</w:t>
      </w:r>
    </w:p>
    <w:p w14:paraId="34C98451">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（3）按法律规定和合同约定采取施工安全和环境保护措施，办理工伤保险，确保工程及人员、材料、设备和设施的安全；</w:t>
      </w:r>
    </w:p>
    <w:p w14:paraId="3745A567">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（4）按合同约定的工作内容和施工进度要求，编制施工组织设计和施工措施计划，并对所有施工作业和施工方法的完备性和安全可靠性负责；</w:t>
      </w:r>
    </w:p>
    <w:p w14:paraId="686FB902">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85153E6">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（6）负责施工场地及其周边环境与生态的保护工作；</w:t>
      </w:r>
    </w:p>
    <w:p w14:paraId="5446D6F2">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（7）采取施工安全措施，确保工程及其人员、材料、设备和设施的安全，防止因工程施工造成的人身伤害和财产损失；</w:t>
      </w:r>
    </w:p>
    <w:p w14:paraId="5C07998D">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（8）将发包人按合同约定支付的各项价款专用于合同工程，且应及时支付其雇用人员工资，并及时向分包人支付合同价款；</w:t>
      </w:r>
    </w:p>
    <w:p w14:paraId="1B1379F9">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（9）按照法律规定和合同约定编制竣工资料，完成竣工资料立卷及归档，并按约定的竣工资料的套数、内容、时间等要求移交发包人；</w:t>
      </w:r>
    </w:p>
    <w:p w14:paraId="3A69526C">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（10）应履行的其他义务。</w:t>
      </w:r>
    </w:p>
    <w:p w14:paraId="5E25B842">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115" w:name="_Toc351203520"/>
      <w:bookmarkStart w:id="116" w:name="_Toc532377206"/>
      <w:bookmarkStart w:id="117" w:name="_Toc296503047"/>
      <w:bookmarkStart w:id="118" w:name="_Toc337558748"/>
      <w:bookmarkStart w:id="119" w:name="_Toc296346548"/>
      <w:r>
        <w:rPr>
          <w:rFonts w:hint="eastAsia"/>
          <w:color w:val="auto"/>
          <w:sz w:val="21"/>
          <w:szCs w:val="21"/>
          <w:lang w:val="en-US" w:eastAsia="zh-CN"/>
        </w:rPr>
        <w:t>4</w:t>
      </w:r>
      <w:r>
        <w:rPr>
          <w:rFonts w:hint="eastAsia"/>
          <w:color w:val="auto"/>
          <w:sz w:val="21"/>
          <w:szCs w:val="21"/>
        </w:rPr>
        <w:t xml:space="preserve">.2 </w:t>
      </w:r>
      <w:bookmarkEnd w:id="115"/>
      <w:r>
        <w:rPr>
          <w:rFonts w:hint="eastAsia"/>
          <w:color w:val="auto"/>
          <w:sz w:val="21"/>
          <w:szCs w:val="21"/>
        </w:rPr>
        <w:t>项目经理</w:t>
      </w:r>
      <w:bookmarkEnd w:id="116"/>
    </w:p>
    <w:bookmarkEnd w:id="117"/>
    <w:bookmarkEnd w:id="118"/>
    <w:bookmarkEnd w:id="119"/>
    <w:p w14:paraId="5654D65D">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4</w:t>
      </w:r>
      <w:r>
        <w:rPr>
          <w:rFonts w:hint="eastAsia" w:ascii="宋体" w:hAnsi="宋体"/>
          <w:color w:val="auto"/>
          <w:kern w:val="0"/>
          <w:szCs w:val="21"/>
        </w:rPr>
        <w:t>.2.1 项目经理应为合同当事人所确认的人选，并明确项目经理的姓名、职称、注册执业证书编号、联系方式及授权范围等事项，项目经理经承包人授权后代表承包人负责履行合同。项目经理应是承包人正式聘用的员工，</w:t>
      </w:r>
      <w:r>
        <w:rPr>
          <w:rFonts w:hint="eastAsia" w:ascii="宋体" w:hAnsi="宋体"/>
          <w:color w:val="auto"/>
          <w:kern w:val="0"/>
          <w:szCs w:val="21"/>
          <w:highlight w:val="none"/>
        </w:rPr>
        <w:t>承包人应向发包人提交项目经理与承包人之间的劳动合同，以及承包人为项目经理缴纳社会保险的有效证明。</w:t>
      </w:r>
      <w:r>
        <w:rPr>
          <w:rFonts w:hint="eastAsia" w:ascii="宋体" w:hAnsi="宋体"/>
          <w:color w:val="auto"/>
          <w:kern w:val="0"/>
          <w:szCs w:val="21"/>
        </w:rPr>
        <w:t>承包人不提交上述文件的，项目经理无权履行职责，发包人有权要求更换项目经理，由此增加的费用和（或）延误的工期由承包人承担。</w:t>
      </w:r>
    </w:p>
    <w:p w14:paraId="733CD8AA">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项目经理应常驻施工现场，且每月在施工现场时间不得少于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56C440A">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承包人违反上述约定的，应承担违约责任。</w:t>
      </w:r>
    </w:p>
    <w:p w14:paraId="36DD0ED3">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4</w:t>
      </w:r>
      <w:r>
        <w:rPr>
          <w:rFonts w:hint="eastAsia" w:ascii="宋体" w:hAnsi="宋体"/>
          <w:color w:val="auto"/>
          <w:kern w:val="0"/>
          <w:szCs w:val="21"/>
        </w:rPr>
        <w:t>.2.2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95C7041">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4</w:t>
      </w:r>
      <w:r>
        <w:rPr>
          <w:rFonts w:hint="eastAsia" w:ascii="宋体" w:hAnsi="宋体"/>
          <w:color w:val="auto"/>
          <w:kern w:val="0"/>
          <w:szCs w:val="21"/>
        </w:rPr>
        <w:t>.2.3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约定承担违约责任。</w:t>
      </w:r>
    </w:p>
    <w:p w14:paraId="5A23DE9F">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4</w:t>
      </w:r>
      <w:r>
        <w:rPr>
          <w:rFonts w:hint="eastAsia" w:ascii="宋体" w:hAnsi="宋体"/>
          <w:color w:val="auto"/>
          <w:kern w:val="0"/>
          <w:szCs w:val="21"/>
        </w:rPr>
        <w:t>.2.4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w:t>
      </w:r>
      <w:r>
        <w:rPr>
          <w:rFonts w:hint="eastAsia" w:ascii="宋体" w:hAnsi="宋体"/>
          <w:color w:val="auto"/>
          <w:kern w:val="0"/>
          <w:szCs w:val="21"/>
          <w:lang w:val="en-US" w:eastAsia="zh-CN"/>
        </w:rPr>
        <w:t>4</w:t>
      </w:r>
      <w:r>
        <w:rPr>
          <w:rFonts w:hint="eastAsia" w:ascii="宋体" w:hAnsi="宋体"/>
          <w:color w:val="auto"/>
          <w:kern w:val="0"/>
          <w:szCs w:val="21"/>
        </w:rPr>
        <w:t>.2.1项约定的职责。承包人无正当理由拒绝更换项目经理的，应按照约定承担违约责任。</w:t>
      </w:r>
    </w:p>
    <w:p w14:paraId="6A6517CC">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4</w:t>
      </w:r>
      <w:r>
        <w:rPr>
          <w:rFonts w:hint="eastAsia" w:ascii="宋体" w:hAnsi="宋体"/>
          <w:color w:val="auto"/>
          <w:kern w:val="0"/>
          <w:szCs w:val="21"/>
        </w:rPr>
        <w:t>.2.5 项目经理因特殊情况授权其下属人员履行其某项工作职责的，该下属人员应具备履行相应职责的能力，并应提前7天将上述人员的姓名和授权范围书面通知监理人，并征得发包人书面同意。</w:t>
      </w:r>
    </w:p>
    <w:p w14:paraId="36CAAF19">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120" w:name="_Toc296503048"/>
      <w:bookmarkStart w:id="121" w:name="_Toc296346549"/>
      <w:bookmarkStart w:id="122" w:name="_Toc532377207"/>
      <w:bookmarkStart w:id="123" w:name="_Toc351203521"/>
      <w:bookmarkStart w:id="124" w:name="_Toc337558749"/>
      <w:r>
        <w:rPr>
          <w:rFonts w:hint="eastAsia"/>
          <w:color w:val="auto"/>
          <w:sz w:val="21"/>
          <w:szCs w:val="21"/>
          <w:lang w:val="en-US" w:eastAsia="zh-CN"/>
        </w:rPr>
        <w:t>4</w:t>
      </w:r>
      <w:r>
        <w:rPr>
          <w:rFonts w:hint="eastAsia"/>
          <w:color w:val="auto"/>
          <w:sz w:val="21"/>
          <w:szCs w:val="21"/>
        </w:rPr>
        <w:t xml:space="preserve">.3 </w:t>
      </w:r>
      <w:bookmarkEnd w:id="120"/>
      <w:bookmarkEnd w:id="121"/>
      <w:r>
        <w:rPr>
          <w:rFonts w:hint="eastAsia"/>
          <w:color w:val="auto"/>
          <w:sz w:val="21"/>
          <w:szCs w:val="21"/>
        </w:rPr>
        <w:t>承包人人员</w:t>
      </w:r>
      <w:bookmarkEnd w:id="122"/>
      <w:bookmarkEnd w:id="123"/>
    </w:p>
    <w:bookmarkEnd w:id="124"/>
    <w:p w14:paraId="3CAFBBAD">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4</w:t>
      </w:r>
      <w:r>
        <w:rPr>
          <w:rFonts w:hint="eastAsia" w:ascii="宋体" w:hAnsi="宋体"/>
          <w:color w:val="auto"/>
          <w:kern w:val="0"/>
          <w:szCs w:val="21"/>
        </w:rPr>
        <w:t>.3.1 除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w:t>
      </w:r>
      <w:r>
        <w:rPr>
          <w:rFonts w:hint="eastAsia" w:ascii="宋体" w:hAnsi="宋体"/>
          <w:color w:val="auto"/>
          <w:kern w:val="0"/>
          <w:szCs w:val="21"/>
          <w:highlight w:val="none"/>
        </w:rPr>
        <w:t>排情况，并同时提交主要施工管理人员与承包人之间的劳动关系证明和缴纳社会保险的有效证明</w:t>
      </w:r>
      <w:r>
        <w:rPr>
          <w:rFonts w:hint="eastAsia" w:ascii="宋体" w:hAnsi="宋体"/>
          <w:color w:val="auto"/>
          <w:kern w:val="0"/>
          <w:szCs w:val="21"/>
        </w:rPr>
        <w:t>。</w:t>
      </w:r>
    </w:p>
    <w:p w14:paraId="5DA6E25C">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4</w:t>
      </w:r>
      <w:r>
        <w:rPr>
          <w:rFonts w:hint="eastAsia" w:ascii="宋体" w:hAnsi="宋体"/>
          <w:color w:val="auto"/>
          <w:kern w:val="0"/>
          <w:szCs w:val="21"/>
        </w:rPr>
        <w:t>.3.2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33547731">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特殊工种作业人员均应持有相应的资格证明，监理人可以随时检查。</w:t>
      </w:r>
    </w:p>
    <w:p w14:paraId="4180109D">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4</w:t>
      </w:r>
      <w:r>
        <w:rPr>
          <w:rFonts w:hint="eastAsia" w:ascii="宋体" w:hAnsi="宋体"/>
          <w:color w:val="auto"/>
          <w:kern w:val="0"/>
          <w:szCs w:val="21"/>
        </w:rPr>
        <w:t>.3.3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约定承担违约责任。</w:t>
      </w:r>
    </w:p>
    <w:p w14:paraId="558B95B9">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4</w:t>
      </w:r>
      <w:r>
        <w:rPr>
          <w:rFonts w:hint="eastAsia" w:ascii="宋体" w:hAnsi="宋体"/>
          <w:color w:val="auto"/>
          <w:kern w:val="0"/>
          <w:szCs w:val="21"/>
        </w:rPr>
        <w:t>.3.4 除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C5D3399">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4</w:t>
      </w:r>
      <w:r>
        <w:rPr>
          <w:rFonts w:hint="eastAsia" w:ascii="宋体" w:hAnsi="宋体"/>
          <w:color w:val="auto"/>
          <w:kern w:val="0"/>
          <w:szCs w:val="21"/>
        </w:rPr>
        <w:t>.3.5 承包人擅自更换主要施工管理人员，或前述人员未经监理人或发包人同意擅自离开施工现场的，应按照约定承担违约责任。</w:t>
      </w:r>
    </w:p>
    <w:p w14:paraId="7063BE1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 xml:space="preserve">.2.3 </w:t>
      </w:r>
      <w:r>
        <w:rPr>
          <w:rFonts w:hint="eastAsia" w:ascii="宋体" w:hAnsi="宋体"/>
          <w:color w:val="auto"/>
          <w:szCs w:val="21"/>
          <w:highlight w:val="none"/>
        </w:rPr>
        <w:t>保证工程质量</w:t>
      </w:r>
      <w:bookmarkEnd w:id="75"/>
      <w:bookmarkEnd w:id="76"/>
      <w:bookmarkEnd w:id="77"/>
      <w:bookmarkEnd w:id="78"/>
      <w:bookmarkEnd w:id="79"/>
      <w:bookmarkEnd w:id="80"/>
      <w:bookmarkEnd w:id="81"/>
      <w:bookmarkEnd w:id="82"/>
      <w:bookmarkEnd w:id="83"/>
    </w:p>
    <w:p w14:paraId="004827D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承包人应严格按招标文件技术要求条款及国家、行业规定、规程要求的规定完成各项工作，确保工程质量。</w:t>
      </w:r>
    </w:p>
    <w:p w14:paraId="1DFBFF00">
      <w:pPr>
        <w:spacing w:line="360" w:lineRule="auto"/>
        <w:ind w:firstLine="420" w:firstLineChars="200"/>
        <w:rPr>
          <w:rFonts w:hint="eastAsia" w:ascii="宋体" w:hAnsi="宋体"/>
          <w:color w:val="auto"/>
          <w:szCs w:val="21"/>
          <w:highlight w:val="none"/>
        </w:rPr>
      </w:pPr>
      <w:bookmarkStart w:id="125" w:name="_Toc298326670"/>
      <w:bookmarkStart w:id="126" w:name="_Toc438482779"/>
      <w:bookmarkStart w:id="127" w:name="_Toc362536175"/>
      <w:bookmarkStart w:id="128" w:name="_Toc227572783"/>
      <w:bookmarkStart w:id="129" w:name="_Toc358017182"/>
      <w:bookmarkStart w:id="130" w:name="_Toc438471688"/>
      <w:bookmarkStart w:id="131" w:name="_Toc228082546"/>
      <w:bookmarkStart w:id="132" w:name="_Toc228074023"/>
      <w:bookmarkStart w:id="133" w:name="_Toc229824516"/>
      <w:r>
        <w:rPr>
          <w:rFonts w:hint="eastAsia" w:ascii="宋体" w:hAnsi="宋体"/>
          <w:color w:val="auto"/>
          <w:szCs w:val="21"/>
          <w:highlight w:val="none"/>
          <w:lang w:val="en-US" w:eastAsia="zh-CN"/>
        </w:rPr>
        <w:t>4</w:t>
      </w:r>
      <w:r>
        <w:rPr>
          <w:rFonts w:ascii="宋体" w:hAnsi="宋体"/>
          <w:color w:val="auto"/>
          <w:szCs w:val="21"/>
          <w:highlight w:val="none"/>
        </w:rPr>
        <w:t>.2.</w:t>
      </w: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rPr>
        <w:t>保证工期</w:t>
      </w:r>
      <w:bookmarkEnd w:id="125"/>
      <w:bookmarkEnd w:id="126"/>
      <w:bookmarkEnd w:id="127"/>
      <w:bookmarkEnd w:id="128"/>
      <w:bookmarkEnd w:id="129"/>
      <w:bookmarkEnd w:id="130"/>
      <w:bookmarkEnd w:id="131"/>
      <w:bookmarkEnd w:id="132"/>
      <w:bookmarkEnd w:id="133"/>
    </w:p>
    <w:p w14:paraId="17ED4E1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承包人应严格按照合同工期向发包人交货，完成安装调试，并申请验收。如因承包人自身原因未能按规定的日期完成工程任务，</w:t>
      </w:r>
      <w:r>
        <w:rPr>
          <w:rFonts w:hint="eastAsia" w:ascii="宋体" w:hAnsi="宋体"/>
          <w:color w:val="auto"/>
          <w:szCs w:val="21"/>
          <w:highlight w:val="none"/>
          <w:lang w:val="en-US" w:eastAsia="zh-CN"/>
        </w:rPr>
        <w:t>每延期一天，处合同金额0.1%的违约金；累计延期达30天时，</w:t>
      </w:r>
      <w:r>
        <w:rPr>
          <w:rFonts w:hint="eastAsia" w:ascii="宋体" w:hAnsi="宋体"/>
          <w:color w:val="auto"/>
          <w:szCs w:val="21"/>
          <w:highlight w:val="none"/>
        </w:rPr>
        <w:t>发包人有权终止本合同，</w:t>
      </w:r>
      <w:r>
        <w:rPr>
          <w:rFonts w:hint="eastAsia" w:ascii="宋体" w:hAnsi="宋体"/>
          <w:color w:val="auto"/>
          <w:szCs w:val="21"/>
          <w:highlight w:val="none"/>
          <w:lang w:eastAsia="zh-CN"/>
        </w:rPr>
        <w:t>不予退还履约担保，</w:t>
      </w:r>
      <w:r>
        <w:rPr>
          <w:rFonts w:hint="eastAsia" w:ascii="宋体" w:hAnsi="宋体"/>
          <w:color w:val="auto"/>
          <w:szCs w:val="21"/>
          <w:highlight w:val="none"/>
        </w:rPr>
        <w:t>并要求承包人无条件退场，发包人不因此承担任何赔偿费用。如因发包人原因造成承包人延误工期未能按规定的日期完成工程任务，承包人工期可以顺延,但发包人不因此承担任何费用。</w:t>
      </w:r>
    </w:p>
    <w:p w14:paraId="797FE450">
      <w:pPr>
        <w:spacing w:line="360" w:lineRule="auto"/>
        <w:ind w:firstLine="420" w:firstLineChars="200"/>
        <w:rPr>
          <w:rFonts w:hint="eastAsia" w:ascii="宋体" w:hAnsi="宋体"/>
          <w:color w:val="auto"/>
          <w:szCs w:val="21"/>
          <w:highlight w:val="none"/>
        </w:rPr>
      </w:pPr>
      <w:bookmarkStart w:id="134" w:name="_Toc438482780"/>
      <w:bookmarkStart w:id="135" w:name="_Toc228074024"/>
      <w:bookmarkStart w:id="136" w:name="_Toc229824517"/>
      <w:bookmarkStart w:id="137" w:name="_Toc227572784"/>
      <w:bookmarkStart w:id="138" w:name="_Toc438471689"/>
      <w:bookmarkStart w:id="139" w:name="_Toc298326671"/>
      <w:bookmarkStart w:id="140" w:name="_Toc228082547"/>
      <w:bookmarkStart w:id="141" w:name="_Toc358017183"/>
      <w:bookmarkStart w:id="142" w:name="_Toc362536176"/>
      <w:r>
        <w:rPr>
          <w:rFonts w:hint="eastAsia" w:ascii="宋体" w:hAnsi="宋体"/>
          <w:color w:val="auto"/>
          <w:szCs w:val="21"/>
          <w:highlight w:val="none"/>
          <w:lang w:val="en-US" w:eastAsia="zh-CN"/>
        </w:rPr>
        <w:t>4</w:t>
      </w: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其它一般义务和责任</w:t>
      </w:r>
      <w:bookmarkEnd w:id="134"/>
      <w:bookmarkEnd w:id="135"/>
      <w:bookmarkEnd w:id="136"/>
      <w:bookmarkEnd w:id="137"/>
      <w:bookmarkEnd w:id="138"/>
      <w:bookmarkEnd w:id="139"/>
      <w:bookmarkEnd w:id="140"/>
      <w:bookmarkEnd w:id="141"/>
      <w:bookmarkEnd w:id="142"/>
    </w:p>
    <w:p w14:paraId="060BFB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承包人应承担合同条款中规定的其它一般义务和责任。</w:t>
      </w:r>
      <w:r>
        <w:rPr>
          <w:rFonts w:hint="eastAsia" w:ascii="宋体" w:hAnsi="宋体"/>
          <w:color w:val="auto"/>
          <w:szCs w:val="21"/>
          <w:highlight w:val="none"/>
          <w:lang w:val="en-US" w:eastAsia="zh-CN"/>
        </w:rPr>
        <w:t>承包人需</w:t>
      </w:r>
      <w:r>
        <w:rPr>
          <w:rFonts w:hint="eastAsia"/>
          <w:snapToGrid w:val="0"/>
          <w:color w:val="auto"/>
          <w:szCs w:val="21"/>
          <w:highlight w:val="none"/>
          <w:u w:val="none"/>
        </w:rPr>
        <w:t>严格执行《</w:t>
      </w:r>
      <w:r>
        <w:rPr>
          <w:rFonts w:hint="eastAsia"/>
          <w:snapToGrid w:val="0"/>
          <w:color w:val="auto"/>
          <w:szCs w:val="21"/>
          <w:highlight w:val="none"/>
          <w:u w:val="none"/>
          <w:lang w:eastAsia="zh-CN"/>
        </w:rPr>
        <w:t>重庆</w:t>
      </w:r>
      <w:r>
        <w:rPr>
          <w:rFonts w:hint="eastAsia"/>
          <w:snapToGrid w:val="0"/>
          <w:color w:val="auto"/>
          <w:szCs w:val="21"/>
          <w:highlight w:val="none"/>
          <w:u w:val="none"/>
        </w:rPr>
        <w:t>人民政府办公厅印发关于深化公共资源交易监督管理改革的意见（试行）的通知》（渝府办发〔2019〕114号）相关规定。</w:t>
      </w:r>
    </w:p>
    <w:p w14:paraId="32D0D4BF">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143" w:name="_Toc229824519"/>
      <w:bookmarkStart w:id="144" w:name="_Toc358017185"/>
      <w:bookmarkStart w:id="145" w:name="_Toc208853158"/>
      <w:bookmarkStart w:id="146" w:name="_Toc298326673"/>
      <w:bookmarkStart w:id="147" w:name="_Toc438471691"/>
      <w:bookmarkStart w:id="148" w:name="_Toc208891977"/>
      <w:bookmarkStart w:id="149" w:name="_Toc208898058"/>
      <w:bookmarkStart w:id="150" w:name="_Toc438482782"/>
      <w:bookmarkStart w:id="151" w:name="_Toc228074026"/>
      <w:bookmarkStart w:id="152" w:name="_Toc228082549"/>
      <w:bookmarkStart w:id="153" w:name="_Toc227572786"/>
      <w:r>
        <w:rPr>
          <w:rFonts w:hint="eastAsia" w:ascii="宋体" w:hAnsi="宋体" w:eastAsia="宋体"/>
          <w:b/>
          <w:bCs/>
          <w:color w:val="auto"/>
          <w:sz w:val="21"/>
          <w:szCs w:val="21"/>
          <w:highlight w:val="none"/>
          <w:lang w:val="en-US" w:eastAsia="zh-CN"/>
        </w:rPr>
        <w:t>5.</w:t>
      </w:r>
      <w:r>
        <w:rPr>
          <w:rFonts w:ascii="宋体" w:hAnsi="宋体" w:eastAsia="宋体"/>
          <w:b/>
          <w:bCs/>
          <w:color w:val="auto"/>
          <w:sz w:val="21"/>
          <w:szCs w:val="21"/>
          <w:highlight w:val="none"/>
        </w:rPr>
        <w:t xml:space="preserve"> </w:t>
      </w:r>
      <w:r>
        <w:rPr>
          <w:rFonts w:hint="eastAsia" w:ascii="宋体" w:hAnsi="宋体" w:eastAsia="宋体"/>
          <w:b/>
          <w:bCs/>
          <w:color w:val="auto"/>
          <w:sz w:val="21"/>
          <w:szCs w:val="21"/>
          <w:highlight w:val="none"/>
        </w:rPr>
        <w:t>转让与分包</w:t>
      </w:r>
      <w:bookmarkEnd w:id="143"/>
      <w:bookmarkEnd w:id="144"/>
      <w:bookmarkEnd w:id="145"/>
      <w:bookmarkEnd w:id="146"/>
      <w:bookmarkEnd w:id="147"/>
      <w:bookmarkEnd w:id="148"/>
      <w:bookmarkEnd w:id="149"/>
      <w:bookmarkEnd w:id="150"/>
      <w:bookmarkEnd w:id="151"/>
      <w:bookmarkEnd w:id="152"/>
      <w:bookmarkEnd w:id="153"/>
    </w:p>
    <w:p w14:paraId="3D45F860">
      <w:pPr>
        <w:spacing w:line="360" w:lineRule="auto"/>
        <w:ind w:firstLine="420" w:firstLineChars="200"/>
        <w:rPr>
          <w:rFonts w:hint="eastAsia" w:ascii="宋体" w:hAnsi="宋体"/>
          <w:color w:val="auto"/>
          <w:szCs w:val="21"/>
          <w:highlight w:val="none"/>
        </w:rPr>
      </w:pPr>
      <w:bookmarkStart w:id="154" w:name="_Toc208891978"/>
      <w:bookmarkStart w:id="155" w:name="_Toc208898059"/>
      <w:bookmarkStart w:id="156" w:name="_Toc208853159"/>
      <w:r>
        <w:rPr>
          <w:rFonts w:hint="eastAsia" w:ascii="宋体" w:hAnsi="宋体"/>
          <w:color w:val="auto"/>
          <w:szCs w:val="21"/>
          <w:highlight w:val="none"/>
        </w:rPr>
        <w:t>本工程不允许转让与分包。</w:t>
      </w:r>
    </w:p>
    <w:p w14:paraId="4F10CCF6">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157" w:name="_Toc228074027"/>
      <w:bookmarkStart w:id="158" w:name="_Toc358017186"/>
      <w:bookmarkStart w:id="159" w:name="_Toc438471692"/>
      <w:bookmarkStart w:id="160" w:name="_Toc298326674"/>
      <w:bookmarkStart w:id="161" w:name="_Toc438482783"/>
      <w:bookmarkStart w:id="162" w:name="_Toc228082550"/>
      <w:bookmarkStart w:id="163" w:name="_Toc227572787"/>
      <w:bookmarkStart w:id="164" w:name="_Toc229824520"/>
      <w:r>
        <w:rPr>
          <w:rFonts w:hint="eastAsia" w:ascii="宋体" w:hAnsi="宋体" w:eastAsia="宋体"/>
          <w:b/>
          <w:bCs/>
          <w:color w:val="auto"/>
          <w:sz w:val="21"/>
          <w:szCs w:val="21"/>
          <w:highlight w:val="none"/>
          <w:lang w:val="en-US" w:eastAsia="zh-CN"/>
        </w:rPr>
        <w:t>6.</w:t>
      </w:r>
      <w:r>
        <w:rPr>
          <w:rFonts w:hint="eastAsia" w:ascii="宋体" w:hAnsi="宋体" w:eastAsia="宋体"/>
          <w:b/>
          <w:bCs/>
          <w:color w:val="auto"/>
          <w:sz w:val="21"/>
          <w:szCs w:val="21"/>
          <w:highlight w:val="none"/>
        </w:rPr>
        <w:t xml:space="preserve"> 设计图纸及图纸提供</w:t>
      </w:r>
      <w:bookmarkEnd w:id="154"/>
      <w:bookmarkEnd w:id="155"/>
      <w:bookmarkEnd w:id="156"/>
      <w:bookmarkEnd w:id="157"/>
      <w:bookmarkEnd w:id="158"/>
      <w:bookmarkEnd w:id="159"/>
      <w:bookmarkEnd w:id="160"/>
      <w:bookmarkEnd w:id="161"/>
      <w:bookmarkEnd w:id="162"/>
      <w:bookmarkEnd w:id="163"/>
      <w:bookmarkEnd w:id="164"/>
    </w:p>
    <w:p w14:paraId="64E7141D">
      <w:pPr>
        <w:spacing w:line="360" w:lineRule="auto"/>
        <w:ind w:firstLine="420" w:firstLineChars="200"/>
        <w:rPr>
          <w:rFonts w:hint="eastAsia" w:ascii="宋体" w:hAnsi="宋体"/>
          <w:color w:val="auto"/>
          <w:szCs w:val="21"/>
          <w:highlight w:val="none"/>
        </w:rPr>
      </w:pPr>
      <w:bookmarkStart w:id="165" w:name="_Toc208898060"/>
      <w:bookmarkStart w:id="166" w:name="_Toc358017187"/>
      <w:bookmarkStart w:id="167" w:name="_Toc228082551"/>
      <w:bookmarkStart w:id="168" w:name="_Toc298326675"/>
      <w:bookmarkStart w:id="169" w:name="_Toc438471693"/>
      <w:bookmarkStart w:id="170" w:name="_Toc227572788"/>
      <w:bookmarkStart w:id="171" w:name="_Toc208853160"/>
      <w:bookmarkStart w:id="172" w:name="_Toc208891979"/>
      <w:bookmarkStart w:id="173" w:name="_Toc228074028"/>
      <w:bookmarkStart w:id="174" w:name="_Toc438482784"/>
      <w:bookmarkStart w:id="175" w:name="_Toc229824521"/>
      <w:r>
        <w:rPr>
          <w:rFonts w:hint="eastAsia" w:ascii="宋体" w:hAnsi="宋体"/>
          <w:color w:val="auto"/>
          <w:szCs w:val="21"/>
          <w:highlight w:val="none"/>
        </w:rPr>
        <w:t>发包人提供。</w:t>
      </w:r>
    </w:p>
    <w:p w14:paraId="54CCA099">
      <w:pPr>
        <w:pStyle w:val="4"/>
        <w:spacing w:before="0" w:after="0" w:line="360" w:lineRule="auto"/>
        <w:ind w:firstLine="422" w:firstLineChars="200"/>
        <w:jc w:val="both"/>
        <w:outlineLvl w:val="3"/>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12.</w:t>
      </w:r>
      <w:r>
        <w:rPr>
          <w:rFonts w:hint="eastAsia" w:ascii="宋体" w:hAnsi="宋体" w:eastAsia="宋体"/>
          <w:b/>
          <w:bCs/>
          <w:color w:val="auto"/>
          <w:sz w:val="21"/>
          <w:szCs w:val="21"/>
          <w:highlight w:val="none"/>
        </w:rPr>
        <w:t xml:space="preserve"> 外购件、专用工具及备品备件</w:t>
      </w:r>
      <w:bookmarkEnd w:id="165"/>
      <w:bookmarkEnd w:id="166"/>
      <w:bookmarkEnd w:id="167"/>
      <w:bookmarkEnd w:id="168"/>
      <w:bookmarkEnd w:id="169"/>
      <w:bookmarkEnd w:id="170"/>
      <w:bookmarkEnd w:id="171"/>
      <w:bookmarkEnd w:id="172"/>
      <w:bookmarkEnd w:id="173"/>
      <w:bookmarkEnd w:id="174"/>
      <w:bookmarkEnd w:id="175"/>
    </w:p>
    <w:p w14:paraId="2F134E01">
      <w:pPr>
        <w:pStyle w:val="6"/>
        <w:spacing w:line="360" w:lineRule="auto"/>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合同设备所需要的全部材料、设备及零部件，均由承包人采购、验收、运输、试验和保管，其全部费用由承包人承担，并计入报价中。所有外购材料、设备及零部件应具有相应制造厂家的产品出厂合格证。</w:t>
      </w:r>
    </w:p>
    <w:p w14:paraId="1C6BAF8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承包人应对外购件的质量负责，并负责处理在现场安装中发现的缺陷。</w:t>
      </w:r>
    </w:p>
    <w:p w14:paraId="60CDDB4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如果不能提供设计规定的外购件时，承包人应向监理人、发包人提出“外购件代用申请单”，说明无法提供的原因，申请代用品的厂家，及其主要技术参数等。经书面同意后才能代用，但并不免除承包人应承担的责任和义务，由此而产生的工程量和价格变化发包人不承担任何责任。</w:t>
      </w:r>
    </w:p>
    <w:p w14:paraId="7595FDB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承包人应提供合同各项目所必需的备品备件和现场安装所需的专用工具。其费用计入报价中。</w:t>
      </w:r>
    </w:p>
    <w:p w14:paraId="2115085A">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176" w:name="_Toc438482785"/>
      <w:bookmarkStart w:id="177" w:name="_Toc358017188"/>
      <w:bookmarkStart w:id="178" w:name="_Toc229824522"/>
      <w:bookmarkStart w:id="179" w:name="_Toc208853161"/>
      <w:bookmarkStart w:id="180" w:name="_Toc208891980"/>
      <w:bookmarkStart w:id="181" w:name="_Toc228082552"/>
      <w:bookmarkStart w:id="182" w:name="_Toc227572789"/>
      <w:bookmarkStart w:id="183" w:name="_Toc298326676"/>
      <w:bookmarkStart w:id="184" w:name="_Toc438471694"/>
      <w:bookmarkStart w:id="185" w:name="_Toc228074029"/>
      <w:bookmarkStart w:id="186" w:name="_Toc208898061"/>
      <w:r>
        <w:rPr>
          <w:rFonts w:hint="eastAsia" w:ascii="宋体" w:hAnsi="宋体" w:eastAsia="宋体"/>
          <w:b/>
          <w:bCs/>
          <w:color w:val="auto"/>
          <w:sz w:val="21"/>
          <w:szCs w:val="21"/>
          <w:highlight w:val="none"/>
          <w:lang w:val="en-US" w:eastAsia="zh-CN"/>
        </w:rPr>
        <w:t>8.</w:t>
      </w:r>
      <w:r>
        <w:rPr>
          <w:rFonts w:hint="eastAsia" w:ascii="宋体" w:hAnsi="宋体" w:eastAsia="宋体"/>
          <w:b/>
          <w:bCs/>
          <w:color w:val="auto"/>
          <w:sz w:val="21"/>
          <w:szCs w:val="21"/>
          <w:highlight w:val="none"/>
        </w:rPr>
        <w:t xml:space="preserve"> 材料的代用</w:t>
      </w:r>
      <w:bookmarkEnd w:id="176"/>
      <w:bookmarkEnd w:id="177"/>
      <w:bookmarkEnd w:id="178"/>
      <w:bookmarkEnd w:id="179"/>
      <w:bookmarkEnd w:id="180"/>
      <w:bookmarkEnd w:id="181"/>
      <w:bookmarkEnd w:id="182"/>
      <w:bookmarkEnd w:id="183"/>
      <w:bookmarkEnd w:id="184"/>
      <w:bookmarkEnd w:id="185"/>
      <w:bookmarkEnd w:id="186"/>
    </w:p>
    <w:p w14:paraId="760906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应严格按审查批准后的设计图纸进行制造，如果不能提供设计图纸规定的材料时，承包人应在制造前30天内向监理人、发包人提出“材料代用申请单”，说明无法提供材料的品种和规格，申请代用的品种和规格，及其主要技术条件等。只有经工程设计单位和监理人书面同意后才能代用，但并不免除承包人应承担的责任和义务。</w:t>
      </w:r>
    </w:p>
    <w:p w14:paraId="434ECA2C">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187" w:name="_Toc208853162"/>
      <w:bookmarkStart w:id="188" w:name="_Toc229824523"/>
      <w:bookmarkStart w:id="189" w:name="_Toc208898062"/>
      <w:bookmarkStart w:id="190" w:name="_Toc438482786"/>
      <w:bookmarkStart w:id="191" w:name="_Toc228082553"/>
      <w:bookmarkStart w:id="192" w:name="_Toc208891981"/>
      <w:bookmarkStart w:id="193" w:name="_Toc227572790"/>
      <w:bookmarkStart w:id="194" w:name="_Toc358017189"/>
      <w:bookmarkStart w:id="195" w:name="_Toc438471695"/>
      <w:bookmarkStart w:id="196" w:name="_Toc228074030"/>
      <w:bookmarkStart w:id="197" w:name="_Toc298326677"/>
      <w:r>
        <w:rPr>
          <w:rFonts w:hint="eastAsia" w:ascii="宋体" w:hAnsi="宋体" w:eastAsia="宋体"/>
          <w:b/>
          <w:bCs/>
          <w:color w:val="auto"/>
          <w:sz w:val="21"/>
          <w:szCs w:val="21"/>
          <w:highlight w:val="none"/>
          <w:lang w:val="en-US" w:eastAsia="zh-CN"/>
        </w:rPr>
        <w:t>9.</w:t>
      </w:r>
      <w:r>
        <w:rPr>
          <w:rFonts w:ascii="宋体" w:hAnsi="宋体" w:eastAsia="宋体"/>
          <w:b/>
          <w:bCs/>
          <w:color w:val="auto"/>
          <w:sz w:val="21"/>
          <w:szCs w:val="21"/>
          <w:highlight w:val="none"/>
        </w:rPr>
        <w:t xml:space="preserve"> </w:t>
      </w:r>
      <w:r>
        <w:rPr>
          <w:rFonts w:hint="eastAsia" w:ascii="宋体" w:hAnsi="宋体" w:eastAsia="宋体"/>
          <w:b/>
          <w:bCs/>
          <w:color w:val="auto"/>
          <w:sz w:val="21"/>
          <w:szCs w:val="21"/>
          <w:highlight w:val="none"/>
        </w:rPr>
        <w:t>结构件涂漆</w:t>
      </w:r>
      <w:bookmarkEnd w:id="187"/>
      <w:bookmarkEnd w:id="188"/>
      <w:bookmarkEnd w:id="189"/>
      <w:bookmarkEnd w:id="190"/>
      <w:bookmarkEnd w:id="191"/>
      <w:bookmarkEnd w:id="192"/>
      <w:bookmarkEnd w:id="193"/>
      <w:bookmarkEnd w:id="194"/>
      <w:bookmarkEnd w:id="195"/>
      <w:bookmarkEnd w:id="196"/>
      <w:bookmarkEnd w:id="197"/>
    </w:p>
    <w:p w14:paraId="4FFB97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提供的设备在制造厂内完成涂漆。此外，承包人还应提供工地安装焊缝两侧的涂料和由于运输、安装碰损需修补部位的涂料，其品种、性能和颜色应与在制造厂内使用的涂料一致。以上涂料的费用计入报价中。</w:t>
      </w:r>
    </w:p>
    <w:p w14:paraId="5EC5224F">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198" w:name="_Toc438482787"/>
      <w:bookmarkStart w:id="199" w:name="_Toc208891982"/>
      <w:bookmarkStart w:id="200" w:name="_Toc228074031"/>
      <w:bookmarkStart w:id="201" w:name="_Toc229824524"/>
      <w:bookmarkStart w:id="202" w:name="_Toc358017190"/>
      <w:bookmarkStart w:id="203" w:name="_Toc228082554"/>
      <w:bookmarkStart w:id="204" w:name="_Toc438471696"/>
      <w:bookmarkStart w:id="205" w:name="_Toc227572791"/>
      <w:bookmarkStart w:id="206" w:name="_Toc298326678"/>
      <w:bookmarkStart w:id="207" w:name="_Toc208898063"/>
      <w:bookmarkStart w:id="208" w:name="_Toc208853163"/>
      <w:r>
        <w:rPr>
          <w:rFonts w:hint="eastAsia" w:ascii="宋体" w:hAnsi="宋体" w:eastAsia="宋体"/>
          <w:b/>
          <w:bCs/>
          <w:color w:val="auto"/>
          <w:sz w:val="21"/>
          <w:szCs w:val="21"/>
          <w:highlight w:val="none"/>
          <w:lang w:val="en-US" w:eastAsia="zh-CN"/>
        </w:rPr>
        <w:t>10.</w:t>
      </w:r>
      <w:r>
        <w:rPr>
          <w:rFonts w:hint="eastAsia" w:ascii="宋体" w:hAnsi="宋体" w:eastAsia="宋体"/>
          <w:b/>
          <w:bCs/>
          <w:color w:val="auto"/>
          <w:sz w:val="21"/>
          <w:szCs w:val="21"/>
          <w:highlight w:val="none"/>
        </w:rPr>
        <w:t xml:space="preserve"> 不合格的材料和不合格的工艺</w:t>
      </w:r>
      <w:bookmarkEnd w:id="198"/>
      <w:bookmarkEnd w:id="199"/>
      <w:bookmarkEnd w:id="200"/>
      <w:bookmarkEnd w:id="201"/>
      <w:bookmarkEnd w:id="202"/>
      <w:bookmarkEnd w:id="203"/>
      <w:bookmarkEnd w:id="204"/>
      <w:bookmarkEnd w:id="205"/>
      <w:bookmarkEnd w:id="206"/>
      <w:bookmarkEnd w:id="207"/>
      <w:bookmarkEnd w:id="208"/>
    </w:p>
    <w:p w14:paraId="4D91ACA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承包人应根据合同要求，使用合格的材料和能确保产品质量的工艺，一旦发现材料或工艺不合格，承包人应该立即更换或更改，对由此所造成的损失发包人不承担任何责任。</w:t>
      </w:r>
    </w:p>
    <w:p w14:paraId="57962EFD">
      <w:pPr>
        <w:pStyle w:val="4"/>
        <w:spacing w:before="0" w:after="0" w:line="360" w:lineRule="auto"/>
        <w:ind w:firstLine="422" w:firstLineChars="200"/>
        <w:jc w:val="both"/>
        <w:outlineLvl w:val="3"/>
        <w:rPr>
          <w:rFonts w:hint="eastAsia" w:ascii="宋体" w:hAnsi="宋体" w:eastAsia="宋体"/>
          <w:b/>
          <w:bCs/>
          <w:color w:val="auto"/>
          <w:sz w:val="21"/>
          <w:szCs w:val="21"/>
          <w:highlight w:val="none"/>
          <w:lang w:eastAsia="zh-CN"/>
        </w:rPr>
      </w:pPr>
      <w:bookmarkStart w:id="209" w:name="_Toc438482788"/>
      <w:bookmarkStart w:id="210" w:name="_Toc228082555"/>
      <w:bookmarkStart w:id="211" w:name="_Toc208853164"/>
      <w:bookmarkStart w:id="212" w:name="_Toc438471697"/>
      <w:bookmarkStart w:id="213" w:name="_Toc227572792"/>
      <w:bookmarkStart w:id="214" w:name="_Toc229824525"/>
      <w:bookmarkStart w:id="215" w:name="_Toc228074032"/>
      <w:bookmarkStart w:id="216" w:name="_Toc298326679"/>
      <w:bookmarkStart w:id="217" w:name="_Toc358017191"/>
      <w:bookmarkStart w:id="218" w:name="_Toc208891983"/>
      <w:bookmarkStart w:id="219" w:name="_Toc208898064"/>
      <w:r>
        <w:rPr>
          <w:rFonts w:hint="eastAsia" w:ascii="宋体" w:hAnsi="宋体" w:eastAsia="宋体"/>
          <w:b/>
          <w:bCs/>
          <w:color w:val="auto"/>
          <w:sz w:val="21"/>
          <w:szCs w:val="21"/>
          <w:highlight w:val="none"/>
          <w:lang w:val="en-US" w:eastAsia="zh-CN"/>
        </w:rPr>
        <w:t>11.</w:t>
      </w:r>
      <w:r>
        <w:rPr>
          <w:rFonts w:hint="eastAsia" w:ascii="宋体" w:hAnsi="宋体" w:eastAsia="宋体"/>
          <w:b/>
          <w:bCs/>
          <w:color w:val="auto"/>
          <w:sz w:val="21"/>
          <w:szCs w:val="21"/>
          <w:highlight w:val="none"/>
        </w:rPr>
        <w:t xml:space="preserve"> </w:t>
      </w:r>
      <w:bookmarkEnd w:id="209"/>
      <w:bookmarkEnd w:id="210"/>
      <w:bookmarkEnd w:id="211"/>
      <w:bookmarkEnd w:id="212"/>
      <w:bookmarkEnd w:id="213"/>
      <w:bookmarkEnd w:id="214"/>
      <w:bookmarkEnd w:id="215"/>
      <w:bookmarkEnd w:id="216"/>
      <w:bookmarkEnd w:id="217"/>
      <w:bookmarkEnd w:id="218"/>
      <w:bookmarkEnd w:id="219"/>
      <w:r>
        <w:rPr>
          <w:rFonts w:hint="eastAsia" w:ascii="宋体" w:hAnsi="宋体" w:eastAsia="宋体"/>
          <w:b/>
          <w:bCs/>
          <w:color w:val="auto"/>
          <w:sz w:val="21"/>
          <w:szCs w:val="21"/>
          <w:highlight w:val="none"/>
          <w:lang w:val="en-US" w:eastAsia="zh-CN"/>
        </w:rPr>
        <w:t>工程质量</w:t>
      </w:r>
    </w:p>
    <w:p w14:paraId="5F51CA29">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220" w:name="_Toc532377219"/>
      <w:bookmarkStart w:id="221" w:name="_Toc351203533"/>
      <w:bookmarkStart w:id="222" w:name="_Toc337558759"/>
      <w:bookmarkStart w:id="223" w:name="_Toc120023193"/>
      <w:bookmarkStart w:id="224" w:name="_Toc229824526"/>
      <w:bookmarkStart w:id="225" w:name="_Toc228074033"/>
      <w:bookmarkStart w:id="226" w:name="_Toc438471698"/>
      <w:bookmarkStart w:id="227" w:name="_Toc139248604"/>
      <w:bookmarkStart w:id="228" w:name="_Toc227572793"/>
      <w:bookmarkStart w:id="229" w:name="_Toc438482789"/>
      <w:bookmarkStart w:id="230" w:name="_Toc228082556"/>
      <w:bookmarkStart w:id="231" w:name="_Toc298326680"/>
      <w:bookmarkStart w:id="232" w:name="_Toc358017192"/>
      <w:r>
        <w:rPr>
          <w:rFonts w:hint="eastAsia"/>
          <w:color w:val="auto"/>
          <w:sz w:val="21"/>
          <w:szCs w:val="21"/>
          <w:lang w:val="en-US" w:eastAsia="zh-CN"/>
        </w:rPr>
        <w:t>11</w:t>
      </w:r>
      <w:r>
        <w:rPr>
          <w:rFonts w:hint="eastAsia"/>
          <w:color w:val="auto"/>
          <w:sz w:val="21"/>
          <w:szCs w:val="21"/>
        </w:rPr>
        <w:t>.1质量要求</w:t>
      </w:r>
      <w:bookmarkEnd w:id="220"/>
      <w:bookmarkEnd w:id="221"/>
    </w:p>
    <w:bookmarkEnd w:id="222"/>
    <w:p w14:paraId="1703F605">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hint="eastAsia"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.1.1 工程质量标准必须符合现行国家有关工程施工质量验收规范和标准的要求。</w:t>
      </w:r>
    </w:p>
    <w:p w14:paraId="50CF9AF7">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.1.2 因发包人原因造成工程质量未达到合同约定标准的，由发包人承担由此增加的费用和（或）延误的工期，并支付承包人合理的利润。</w:t>
      </w:r>
    </w:p>
    <w:p w14:paraId="0577308E">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.1.3 因承包人原因造成工程质量未达到合同约定标准的，发包人有权要求承包人返工直至工程质量达到合同约定的标准为止，并由承包人承担由此增加的费用和（或）延误的工期。</w:t>
      </w:r>
    </w:p>
    <w:p w14:paraId="44AF5B1F">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233" w:name="_Toc351203534"/>
      <w:bookmarkStart w:id="234" w:name="_Toc532377220"/>
      <w:bookmarkStart w:id="235" w:name="_Toc337558760"/>
      <w:r>
        <w:rPr>
          <w:rFonts w:hint="eastAsia"/>
          <w:color w:val="auto"/>
          <w:sz w:val="21"/>
          <w:szCs w:val="21"/>
          <w:lang w:val="en-US" w:eastAsia="zh-CN"/>
        </w:rPr>
        <w:t>11</w:t>
      </w:r>
      <w:r>
        <w:rPr>
          <w:rFonts w:hint="eastAsia"/>
          <w:color w:val="auto"/>
          <w:sz w:val="21"/>
          <w:szCs w:val="21"/>
        </w:rPr>
        <w:t>.2质量保证措施</w:t>
      </w:r>
      <w:bookmarkEnd w:id="233"/>
      <w:bookmarkEnd w:id="234"/>
    </w:p>
    <w:bookmarkEnd w:id="235"/>
    <w:p w14:paraId="6B7E27FB">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.2.1 发包人的质量管理</w:t>
      </w:r>
    </w:p>
    <w:p w14:paraId="7540BB6B">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发包人应按照法律规定及合同约定完成与工程质量有关的各项工作。</w:t>
      </w:r>
    </w:p>
    <w:p w14:paraId="75F6D791">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.2.2 承包人的质量管理</w:t>
      </w:r>
    </w:p>
    <w:p w14:paraId="612323D6">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承包人按照第</w:t>
      </w:r>
      <w:r>
        <w:rPr>
          <w:rFonts w:hint="eastAsia" w:ascii="宋体" w:hAnsi="宋体"/>
          <w:color w:val="auto"/>
          <w:kern w:val="0"/>
          <w:szCs w:val="21"/>
          <w:lang w:eastAsia="zh-CN"/>
        </w:rPr>
        <w:t>12.</w:t>
      </w:r>
      <w:r>
        <w:rPr>
          <w:rFonts w:hint="eastAsia" w:ascii="宋体" w:hAnsi="宋体"/>
          <w:color w:val="auto"/>
          <w:kern w:val="0"/>
          <w:szCs w:val="21"/>
        </w:rPr>
        <w:t>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C756678">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承包人应对施工人员进行质量教育和技术培训，定期考核施工人员的劳动技能，严格执行施工规范和操作规程。</w:t>
      </w:r>
    </w:p>
    <w:p w14:paraId="1216E164">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8C0EC22">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.2.3 监理人的质量检查和检验</w:t>
      </w:r>
    </w:p>
    <w:p w14:paraId="3F5C2D6D">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A7FC310">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82E79F7">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rFonts w:hint="eastAsia" w:ascii="宋体" w:hAnsi="宋体" w:eastAsia="宋体" w:cs="Times New Roman"/>
          <w:b/>
          <w:bCs/>
          <w:color w:val="auto"/>
          <w:kern w:val="2"/>
          <w:sz w:val="21"/>
          <w:szCs w:val="21"/>
          <w:highlight w:val="none"/>
          <w:lang w:val="en-US" w:eastAsia="zh-CN" w:bidi="ar-SA"/>
        </w:rPr>
      </w:pPr>
      <w:bookmarkStart w:id="236" w:name="_Toc351203535"/>
      <w:bookmarkStart w:id="237" w:name="_Toc532377221"/>
      <w:bookmarkStart w:id="238" w:name="_Toc337558761"/>
      <w:r>
        <w:rPr>
          <w:rFonts w:hint="eastAsia"/>
          <w:color w:val="auto"/>
          <w:sz w:val="21"/>
          <w:szCs w:val="21"/>
          <w:lang w:val="en-US" w:eastAsia="zh-CN"/>
        </w:rPr>
        <w:t>11</w:t>
      </w:r>
      <w:r>
        <w:rPr>
          <w:rFonts w:hint="eastAsia"/>
          <w:color w:val="auto"/>
          <w:sz w:val="21"/>
          <w:szCs w:val="21"/>
        </w:rPr>
        <w:t>.3 隐蔽工程</w:t>
      </w:r>
      <w:r>
        <w:rPr>
          <w:rFonts w:hint="eastAsia" w:ascii="宋体" w:hAnsi="宋体" w:eastAsia="宋体" w:cs="Times New Roman"/>
          <w:b/>
          <w:bCs/>
          <w:color w:val="auto"/>
          <w:kern w:val="2"/>
          <w:sz w:val="21"/>
          <w:szCs w:val="21"/>
          <w:highlight w:val="none"/>
          <w:lang w:val="en-US" w:eastAsia="zh-CN" w:bidi="ar-SA"/>
        </w:rPr>
        <w:t>检查</w:t>
      </w:r>
      <w:bookmarkEnd w:id="236"/>
      <w:bookmarkEnd w:id="237"/>
    </w:p>
    <w:bookmarkEnd w:id="238"/>
    <w:p w14:paraId="124EA7F7">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.3.1承包人自检</w:t>
      </w:r>
    </w:p>
    <w:p w14:paraId="1FF1E72C">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承包人应当对工程隐蔽部位进行自检，并经自检确认是否具备覆盖条件。</w:t>
      </w:r>
    </w:p>
    <w:p w14:paraId="080A1329">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.3.2检查程序</w:t>
      </w:r>
    </w:p>
    <w:p w14:paraId="1DCBAFA3">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除另有约定外，工程隐蔽部位经承包人自检确认具备覆盖条件的，承包人应在共同检查前48小时书面通知监理人检查，通知中应载明隐蔽检查的内容、时间和地点，并应附有自检记录和必要的检查资料。</w:t>
      </w:r>
    </w:p>
    <w:p w14:paraId="267A592E">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8331AEF">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除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563D032">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.3.3 重新检查</w:t>
      </w:r>
    </w:p>
    <w:p w14:paraId="45277E69">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AF8CB1F">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.3.4 承包人私自覆盖</w:t>
      </w:r>
    </w:p>
    <w:p w14:paraId="495E866F">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4394C103">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239" w:name="_Toc532377222"/>
      <w:r>
        <w:rPr>
          <w:rFonts w:hint="eastAsia"/>
          <w:color w:val="auto"/>
          <w:sz w:val="21"/>
          <w:szCs w:val="21"/>
          <w:lang w:val="en-US" w:eastAsia="zh-CN"/>
        </w:rPr>
        <w:t>11</w:t>
      </w:r>
      <w:r>
        <w:rPr>
          <w:rFonts w:hint="eastAsia"/>
          <w:color w:val="auto"/>
          <w:sz w:val="21"/>
          <w:szCs w:val="21"/>
        </w:rPr>
        <w:t>.4不合格工程的处理</w:t>
      </w:r>
      <w:bookmarkEnd w:id="239"/>
    </w:p>
    <w:p w14:paraId="162AFC65">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 xml:space="preserve">.4.1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0BA12FD3">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11</w:t>
      </w:r>
      <w:r>
        <w:rPr>
          <w:rFonts w:hint="eastAsia" w:ascii="宋体" w:hAnsi="宋体"/>
          <w:color w:val="auto"/>
          <w:kern w:val="0"/>
          <w:szCs w:val="21"/>
        </w:rPr>
        <w:t>.4.2 因发包人原因造成工程不合格的，由此增加的费用和（或）延误的工期由发包人承担，并支付承包人合理的利润。</w:t>
      </w:r>
    </w:p>
    <w:p w14:paraId="1A9A9DA5">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240" w:name="_Toc351203537"/>
      <w:bookmarkStart w:id="241" w:name="_Toc532377223"/>
      <w:r>
        <w:rPr>
          <w:rFonts w:hint="eastAsia"/>
          <w:color w:val="auto"/>
          <w:sz w:val="21"/>
          <w:szCs w:val="21"/>
          <w:lang w:val="en-US" w:eastAsia="zh-CN"/>
        </w:rPr>
        <w:t>11</w:t>
      </w:r>
      <w:r>
        <w:rPr>
          <w:rFonts w:hint="eastAsia"/>
          <w:color w:val="auto"/>
          <w:sz w:val="21"/>
          <w:szCs w:val="21"/>
        </w:rPr>
        <w:t>.5 质量争议检测</w:t>
      </w:r>
      <w:bookmarkEnd w:id="240"/>
      <w:bookmarkEnd w:id="241"/>
    </w:p>
    <w:p w14:paraId="01794DEF">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合同当事人对工程质量有争议的，由双方协商确定的工程质量检测机构鉴定，由此产生的费用及因此造成的损失，由责任方承担。</w:t>
      </w:r>
    </w:p>
    <w:p w14:paraId="7EB02762">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hint="eastAsia" w:ascii="宋体" w:hAnsi="宋体"/>
          <w:color w:val="auto"/>
          <w:kern w:val="0"/>
          <w:szCs w:val="21"/>
        </w:rPr>
      </w:pPr>
      <w:r>
        <w:rPr>
          <w:rFonts w:hint="eastAsia" w:ascii="宋体" w:hAnsi="宋体"/>
          <w:color w:val="auto"/>
          <w:kern w:val="0"/>
          <w:szCs w:val="21"/>
        </w:rPr>
        <w:t>合同当事人均有责任的，由双方根据其责任分别承担。合同当事人无法达成一致的，按照第4.4款〔商定或确定〕执行。</w:t>
      </w:r>
    </w:p>
    <w:p w14:paraId="47D87016">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bookmarkStart w:id="242" w:name="_Toc532377228"/>
      <w:bookmarkStart w:id="243" w:name="_Toc532375593"/>
      <w:bookmarkStart w:id="244" w:name="_Toc351203542"/>
      <w:bookmarkStart w:id="245" w:name="_Toc337558767"/>
      <w:r>
        <w:rPr>
          <w:rFonts w:hint="eastAsia" w:ascii="宋体" w:hAnsi="宋体" w:eastAsia="宋体" w:cs="Times New Roman"/>
          <w:b/>
          <w:bCs/>
          <w:color w:val="auto"/>
          <w:sz w:val="21"/>
          <w:szCs w:val="21"/>
          <w:highlight w:val="none"/>
          <w:lang w:val="en-US" w:eastAsia="zh-CN"/>
        </w:rPr>
        <w:t>12. 工期和进度</w:t>
      </w:r>
      <w:bookmarkEnd w:id="242"/>
      <w:bookmarkEnd w:id="243"/>
      <w:bookmarkEnd w:id="244"/>
    </w:p>
    <w:bookmarkEnd w:id="245"/>
    <w:p w14:paraId="441E6FDB">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246" w:name="_Toc351203543"/>
      <w:bookmarkStart w:id="247" w:name="_Toc532377229"/>
      <w:bookmarkStart w:id="248" w:name="_Toc337558768"/>
      <w:bookmarkStart w:id="249" w:name="_Toc296503066"/>
      <w:bookmarkStart w:id="250" w:name="_Toc296346567"/>
      <w:r>
        <w:rPr>
          <w:rFonts w:hint="eastAsia"/>
          <w:color w:val="auto"/>
          <w:sz w:val="21"/>
          <w:szCs w:val="21"/>
          <w:lang w:eastAsia="zh-CN"/>
        </w:rPr>
        <w:t>12.</w:t>
      </w:r>
      <w:r>
        <w:rPr>
          <w:rFonts w:hint="eastAsia"/>
          <w:color w:val="auto"/>
          <w:sz w:val="21"/>
          <w:szCs w:val="21"/>
        </w:rPr>
        <w:t>1施工组织设计</w:t>
      </w:r>
      <w:bookmarkEnd w:id="246"/>
      <w:bookmarkEnd w:id="247"/>
    </w:p>
    <w:bookmarkEnd w:id="248"/>
    <w:p w14:paraId="2D01222D">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1.1 施工组织设计的内容</w:t>
      </w:r>
    </w:p>
    <w:p w14:paraId="0AC3A34A">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施工组织设计应包含以下内容：</w:t>
      </w:r>
    </w:p>
    <w:p w14:paraId="1A23135B">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 xml:space="preserve">（1）施工方案； </w:t>
      </w:r>
    </w:p>
    <w:p w14:paraId="41692551">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（2）施工现场平面布置图；</w:t>
      </w:r>
    </w:p>
    <w:p w14:paraId="4525A3DB">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 xml:space="preserve">（3）施工进度计划和保证措施； </w:t>
      </w:r>
    </w:p>
    <w:p w14:paraId="400FCE11">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（4）劳动力及材料供应计划；</w:t>
      </w:r>
    </w:p>
    <w:p w14:paraId="0D2C9DED">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（5）施工机械设备的选用；</w:t>
      </w:r>
    </w:p>
    <w:p w14:paraId="66F5A53C">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（6）质量保证体系及措施；</w:t>
      </w:r>
    </w:p>
    <w:p w14:paraId="402FB93B">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（7）安全生产、文明施工措施；</w:t>
      </w:r>
    </w:p>
    <w:p w14:paraId="6C535857">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（8）环境保护、成本控制措施；</w:t>
      </w:r>
    </w:p>
    <w:p w14:paraId="34F582FA">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（9）合同当事人约定的其他内容。</w:t>
      </w:r>
    </w:p>
    <w:p w14:paraId="4A6959B2">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1.2 施工组织设计的提交和修改</w:t>
      </w:r>
    </w:p>
    <w:p w14:paraId="10DF816F">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应在合同签订后14天内，但至迟不得晚于开工通知载明的开工日期前7天，向监理人提交详细的施工组织设计，并由监理人报送发包人。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47D7FDBF">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251" w:name="_Toc532377230"/>
      <w:bookmarkStart w:id="252" w:name="_Toc351203544"/>
      <w:bookmarkStart w:id="253" w:name="_Toc337558769"/>
      <w:r>
        <w:rPr>
          <w:rFonts w:hint="eastAsia"/>
          <w:color w:val="auto"/>
          <w:sz w:val="21"/>
          <w:szCs w:val="21"/>
          <w:lang w:eastAsia="zh-CN"/>
        </w:rPr>
        <w:t>12.</w:t>
      </w:r>
      <w:r>
        <w:rPr>
          <w:rFonts w:hint="eastAsia"/>
          <w:color w:val="auto"/>
          <w:sz w:val="21"/>
          <w:szCs w:val="21"/>
        </w:rPr>
        <w:t>2 施工进度计划</w:t>
      </w:r>
      <w:bookmarkEnd w:id="251"/>
      <w:bookmarkEnd w:id="252"/>
    </w:p>
    <w:bookmarkEnd w:id="253"/>
    <w:p w14:paraId="5B69663F">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2.1 施工进度计划的编制</w:t>
      </w:r>
    </w:p>
    <w:p w14:paraId="533DBC9C">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应按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859FA58">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2.2 施工进度计划的修订</w:t>
      </w:r>
    </w:p>
    <w:p w14:paraId="7883B586">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施工进度计划不符合合同要求或与工程的实际进度不一致的，承包人应向监理人提交修订的施工进度计划，并附具有关措施和相关资料，由监理人报送发包人。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4DC0AF9">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254" w:name="_Toc532377231"/>
      <w:bookmarkStart w:id="255" w:name="_Toc351203545"/>
      <w:bookmarkStart w:id="256" w:name="_Toc337558770"/>
      <w:r>
        <w:rPr>
          <w:rFonts w:hint="eastAsia"/>
          <w:color w:val="auto"/>
          <w:sz w:val="21"/>
          <w:szCs w:val="21"/>
          <w:lang w:eastAsia="zh-CN"/>
        </w:rPr>
        <w:t>12.</w:t>
      </w:r>
      <w:r>
        <w:rPr>
          <w:rFonts w:hint="eastAsia"/>
          <w:color w:val="auto"/>
          <w:sz w:val="21"/>
          <w:szCs w:val="21"/>
        </w:rPr>
        <w:t>3 开工</w:t>
      </w:r>
      <w:bookmarkEnd w:id="254"/>
      <w:bookmarkEnd w:id="255"/>
    </w:p>
    <w:p w14:paraId="30831127">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3.1 开工准备</w:t>
      </w:r>
    </w:p>
    <w:p w14:paraId="67662CDF">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应按照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73D6BEE4">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除另有约定外，合同当事人应按约定完成开工准备工作。</w:t>
      </w:r>
    </w:p>
    <w:p w14:paraId="26D370CC">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3.2 开工通知</w:t>
      </w:r>
    </w:p>
    <w:bookmarkEnd w:id="256"/>
    <w:p w14:paraId="6BC4EF4A">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bookmarkEnd w:id="249"/>
    <w:bookmarkEnd w:id="250"/>
    <w:p w14:paraId="6A94F163">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257" w:name="_Toc351203547"/>
      <w:bookmarkStart w:id="258" w:name="_Toc532377233"/>
      <w:bookmarkStart w:id="259" w:name="_Toc296346574"/>
      <w:bookmarkStart w:id="260" w:name="_Toc296503073"/>
      <w:bookmarkStart w:id="261" w:name="_Toc337558772"/>
      <w:r>
        <w:rPr>
          <w:rFonts w:hint="eastAsia"/>
          <w:color w:val="auto"/>
          <w:sz w:val="21"/>
          <w:szCs w:val="21"/>
          <w:lang w:eastAsia="zh-CN"/>
        </w:rPr>
        <w:t>12.</w:t>
      </w:r>
      <w:r>
        <w:rPr>
          <w:rFonts w:hint="eastAsia"/>
          <w:color w:val="auto"/>
          <w:sz w:val="21"/>
          <w:szCs w:val="21"/>
          <w:lang w:val="en-US" w:eastAsia="zh-CN"/>
        </w:rPr>
        <w:t>4</w:t>
      </w:r>
      <w:r>
        <w:rPr>
          <w:rFonts w:hint="eastAsia"/>
          <w:color w:val="auto"/>
          <w:sz w:val="21"/>
          <w:szCs w:val="21"/>
        </w:rPr>
        <w:t xml:space="preserve"> 工期延误</w:t>
      </w:r>
      <w:bookmarkEnd w:id="257"/>
      <w:bookmarkEnd w:id="258"/>
    </w:p>
    <w:bookmarkEnd w:id="259"/>
    <w:bookmarkEnd w:id="260"/>
    <w:bookmarkEnd w:id="261"/>
    <w:p w14:paraId="0BEFCE80">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lang w:val="en-US" w:eastAsia="zh-CN"/>
        </w:rPr>
        <w:t>4</w:t>
      </w:r>
      <w:r>
        <w:rPr>
          <w:rFonts w:hint="eastAsia" w:ascii="宋体" w:hAnsi="宋体"/>
          <w:color w:val="auto"/>
          <w:kern w:val="0"/>
          <w:szCs w:val="21"/>
        </w:rPr>
        <w:t>.1 因发包人原因导致工期延误</w:t>
      </w:r>
    </w:p>
    <w:p w14:paraId="304516BD">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在合同履行过程中，因下列情况导致工期延误</w:t>
      </w:r>
      <w:r>
        <w:rPr>
          <w:rFonts w:hint="eastAsia" w:ascii="宋体" w:hAnsi="宋体"/>
          <w:color w:val="auto"/>
          <w:kern w:val="0"/>
          <w:szCs w:val="21"/>
          <w:lang w:eastAsia="zh-CN"/>
        </w:rPr>
        <w:t>，</w:t>
      </w:r>
      <w:r>
        <w:rPr>
          <w:rFonts w:hint="eastAsia" w:ascii="宋体" w:hAnsi="宋体"/>
          <w:color w:val="auto"/>
          <w:kern w:val="0"/>
          <w:szCs w:val="21"/>
          <w:lang w:val="en-US" w:eastAsia="zh-CN"/>
        </w:rPr>
        <w:t>施工工期应予以顺延</w:t>
      </w:r>
      <w:r>
        <w:rPr>
          <w:rFonts w:hint="eastAsia" w:ascii="宋体" w:hAnsi="宋体"/>
          <w:color w:val="auto"/>
          <w:kern w:val="0"/>
          <w:szCs w:val="21"/>
        </w:rPr>
        <w:t xml:space="preserve">： </w:t>
      </w:r>
    </w:p>
    <w:p w14:paraId="73DB9D42">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（1）发包人未能按合同约定提供图纸或所提供图纸不符合合同约定的；</w:t>
      </w:r>
    </w:p>
    <w:p w14:paraId="53C754B5">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（2）发包人未能按合同约定提供施工现场、施工条件、基础资料、许可、批准等开工条件的；</w:t>
      </w:r>
    </w:p>
    <w:p w14:paraId="423ECD7B">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（3）发包人提供的测量基准点、基准线和水准点及其书面资料存在错误或疏漏的；</w:t>
      </w:r>
    </w:p>
    <w:p w14:paraId="26D34297">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（4）发包人未能在计划开工日期之日起7天内同意下达开工通知的；</w:t>
      </w:r>
    </w:p>
    <w:p w14:paraId="630C90C3">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5</w:t>
      </w:r>
      <w:r>
        <w:rPr>
          <w:rFonts w:hint="eastAsia" w:ascii="宋体" w:hAnsi="宋体"/>
          <w:color w:val="auto"/>
          <w:kern w:val="0"/>
          <w:szCs w:val="21"/>
        </w:rPr>
        <w:t>）监理人未按合同约定发出指示、批准等文件的；</w:t>
      </w:r>
    </w:p>
    <w:p w14:paraId="00874263">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因发包人原因未按计划开工日期开工的，发包人应按实际开工日期顺延竣工日期，确保实际工期不低于合同约定的工期总日历天数。因发包人原因导致工期延误需要修订施工进度计划的，按照施工进度计划的修订执行。</w:t>
      </w:r>
    </w:p>
    <w:p w14:paraId="00E0DCC3">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lang w:val="en-US" w:eastAsia="zh-CN"/>
        </w:rPr>
        <w:t>4</w:t>
      </w:r>
      <w:r>
        <w:rPr>
          <w:rFonts w:hint="eastAsia" w:ascii="宋体" w:hAnsi="宋体"/>
          <w:color w:val="auto"/>
          <w:kern w:val="0"/>
          <w:szCs w:val="21"/>
        </w:rPr>
        <w:t>.2 因承包人原因导致工期延误</w:t>
      </w:r>
    </w:p>
    <w:p w14:paraId="0F2517F8">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bookmarkStart w:id="262" w:name="_Toc296503076"/>
      <w:bookmarkStart w:id="263" w:name="_Toc296346577"/>
      <w:r>
        <w:rPr>
          <w:rFonts w:hint="eastAsia" w:ascii="宋体" w:hAnsi="宋体"/>
          <w:color w:val="auto"/>
          <w:kern w:val="0"/>
          <w:szCs w:val="21"/>
        </w:rPr>
        <w:t>因</w:t>
      </w:r>
      <w:bookmarkEnd w:id="262"/>
      <w:bookmarkEnd w:id="263"/>
      <w:r>
        <w:rPr>
          <w:rFonts w:hint="eastAsia" w:ascii="宋体" w:hAnsi="宋体"/>
          <w:color w:val="auto"/>
          <w:kern w:val="0"/>
          <w:szCs w:val="21"/>
        </w:rPr>
        <w:t>承包人原因造成工期延误的，承包人支付逾期竣工违约金后，不免除承包人继续完成工程及修补缺陷的义务。</w:t>
      </w:r>
    </w:p>
    <w:p w14:paraId="26A36180">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264" w:name="_Toc351203550"/>
      <w:bookmarkStart w:id="265" w:name="_Toc532377236"/>
      <w:bookmarkStart w:id="266" w:name="_Toc296503077"/>
      <w:bookmarkStart w:id="267" w:name="_Toc296346578"/>
      <w:bookmarkStart w:id="268" w:name="_Toc337558775"/>
      <w:r>
        <w:rPr>
          <w:rFonts w:hint="eastAsia"/>
          <w:color w:val="auto"/>
          <w:sz w:val="21"/>
          <w:szCs w:val="21"/>
          <w:lang w:eastAsia="zh-CN"/>
        </w:rPr>
        <w:t>12.</w:t>
      </w:r>
      <w:r>
        <w:rPr>
          <w:rFonts w:hint="eastAsia"/>
          <w:color w:val="auto"/>
          <w:sz w:val="21"/>
          <w:szCs w:val="21"/>
          <w:lang w:val="en-US" w:eastAsia="zh-CN"/>
        </w:rPr>
        <w:t>5</w:t>
      </w:r>
      <w:r>
        <w:rPr>
          <w:rFonts w:hint="eastAsia"/>
          <w:color w:val="auto"/>
          <w:sz w:val="21"/>
          <w:szCs w:val="21"/>
        </w:rPr>
        <w:t xml:space="preserve"> 暂停施工</w:t>
      </w:r>
      <w:bookmarkEnd w:id="264"/>
      <w:bookmarkEnd w:id="265"/>
    </w:p>
    <w:bookmarkEnd w:id="266"/>
    <w:bookmarkEnd w:id="267"/>
    <w:bookmarkEnd w:id="268"/>
    <w:p w14:paraId="2050DD05">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lang w:val="en-US" w:eastAsia="zh-CN"/>
        </w:rPr>
        <w:t>5</w:t>
      </w:r>
      <w:r>
        <w:rPr>
          <w:rFonts w:hint="eastAsia" w:ascii="宋体" w:hAnsi="宋体"/>
          <w:color w:val="auto"/>
          <w:kern w:val="0"/>
          <w:szCs w:val="21"/>
        </w:rPr>
        <w:t>.1发包人原因引起的暂停施工</w:t>
      </w:r>
    </w:p>
    <w:p w14:paraId="167FB192">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因发包人原因引起暂停施工的，监理人经发包人同意后，应及时下达暂停施工指示。情况紧急且监理人未及时下达暂停施工指示的，按照紧急情况下的暂停施工执行。</w:t>
      </w:r>
    </w:p>
    <w:p w14:paraId="1B1FF2D7">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hint="eastAsia" w:ascii="宋体" w:hAnsi="宋体"/>
          <w:color w:val="auto"/>
          <w:kern w:val="0"/>
          <w:szCs w:val="21"/>
          <w:lang w:val="en-US" w:eastAsia="zh-CN"/>
        </w:rPr>
      </w:pPr>
      <w:r>
        <w:rPr>
          <w:rFonts w:hint="eastAsia" w:ascii="宋体" w:hAnsi="宋体"/>
          <w:color w:val="auto"/>
          <w:kern w:val="0"/>
          <w:szCs w:val="21"/>
        </w:rPr>
        <w:t>因发包人原因引起的暂停施工，</w:t>
      </w:r>
      <w:r>
        <w:rPr>
          <w:rFonts w:hint="eastAsia" w:ascii="宋体" w:hAnsi="宋体"/>
          <w:color w:val="auto"/>
          <w:kern w:val="0"/>
          <w:szCs w:val="21"/>
          <w:lang w:val="en-US" w:eastAsia="zh-CN"/>
        </w:rPr>
        <w:t>施工工期予以顺延。</w:t>
      </w:r>
    </w:p>
    <w:p w14:paraId="595E9606">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lang w:val="en-US" w:eastAsia="zh-CN"/>
        </w:rPr>
        <w:t>5</w:t>
      </w:r>
      <w:r>
        <w:rPr>
          <w:rFonts w:hint="eastAsia" w:ascii="宋体" w:hAnsi="宋体"/>
          <w:color w:val="auto"/>
          <w:kern w:val="0"/>
          <w:szCs w:val="21"/>
        </w:rPr>
        <w:t>.2 承包人原因引起的暂停施工</w:t>
      </w:r>
    </w:p>
    <w:p w14:paraId="714D845F">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因承包人原因引起的暂停施工，承包人应承担由此增加的费用和（或）延误的工期，且承包人在收到监理人复工指示后84天内仍未复工的，视为承包人违约的情形约定的承包人无法继续履行合同的情形。</w:t>
      </w:r>
    </w:p>
    <w:p w14:paraId="0F1A8D43">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8.3 指示暂停施工</w:t>
      </w:r>
    </w:p>
    <w:p w14:paraId="4D93452A">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监理人认为有必要时，并经发包人批准后，可向承包人作出暂停施工的指示，承包人应按监理人指示暂停施工。</w:t>
      </w:r>
    </w:p>
    <w:p w14:paraId="0C5AB4E1">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8.4 紧急情况下的暂停施工</w:t>
      </w:r>
    </w:p>
    <w:p w14:paraId="54A96A81">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争议解决约定处理。</w:t>
      </w:r>
    </w:p>
    <w:p w14:paraId="1EECE89C">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8.5 暂停施工后的复工</w:t>
      </w:r>
    </w:p>
    <w:p w14:paraId="1DDEE4DA">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C8809D5">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承包人无故拖延和拒绝复工的，承包人承担由此增加的费用和（或）延误的工期；因发包人原因无法按时复工的，按照因发包人原因导致工期延误约定办理。</w:t>
      </w:r>
    </w:p>
    <w:p w14:paraId="26D21B22">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8.6 暂停施工持续56天以上</w:t>
      </w:r>
    </w:p>
    <w:p w14:paraId="6BDF3A63">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监理人发出暂停施工指示后56天内未向承包人发出复工通知，除该项停工属于承包人原因引起的暂停施工及不可抗力约定的情形外，承包人可向发包人提交书面通知，要求发包人在收到书面通知后28天内准许已暂停施工的部分或全部工程继续施工。发包人逾期不予批准的，则承包人可以通知发包人，将工程受影响的部分视为按变更的范围的可取消工作。</w:t>
      </w:r>
    </w:p>
    <w:p w14:paraId="6A2336ED">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暂停施工持续84天以上不复工的，且不属于承包人原因引起的暂停施工及不可抗力约定的情形，并影响到整个工程以及合同目的实现的，承包人有权提出价格调整要求，或者解除合同。解除合同的，按照因发包人违约解除合同执行。</w:t>
      </w:r>
    </w:p>
    <w:p w14:paraId="16B4BC38">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8.7 暂停施工期间的工程照管</w:t>
      </w:r>
    </w:p>
    <w:p w14:paraId="64287BC4">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暂停施工期间，承包人应负责妥善照管工程并提供安全保障，由此增加的费用由责任方承担。</w:t>
      </w:r>
    </w:p>
    <w:p w14:paraId="2C199374">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eastAsia="zh-CN"/>
        </w:rPr>
        <w:t>12.</w:t>
      </w:r>
      <w:r>
        <w:rPr>
          <w:rFonts w:hint="eastAsia" w:ascii="宋体" w:hAnsi="宋体"/>
          <w:color w:val="auto"/>
          <w:kern w:val="0"/>
          <w:szCs w:val="21"/>
        </w:rPr>
        <w:t>8.8 暂停施工的措施</w:t>
      </w:r>
    </w:p>
    <w:p w14:paraId="65F06B8A">
      <w:pPr>
        <w:keepNext w:val="0"/>
        <w:keepLines w:val="0"/>
        <w:pageBreakBefore w:val="0"/>
        <w:kinsoku/>
        <w:wordWrap/>
        <w:overflowPunct/>
        <w:topLinePunct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暂停施工期间，发包人和承包人均应采取必要的措施确保工程质量及安全，防止因暂停施工扩大损失。</w:t>
      </w:r>
    </w:p>
    <w:p w14:paraId="3B6A16A3">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13. 验收</w:t>
      </w:r>
      <w:bookmarkEnd w:id="223"/>
      <w:bookmarkEnd w:id="224"/>
      <w:bookmarkEnd w:id="225"/>
      <w:bookmarkEnd w:id="226"/>
      <w:bookmarkEnd w:id="227"/>
      <w:bookmarkEnd w:id="228"/>
      <w:bookmarkEnd w:id="229"/>
      <w:bookmarkEnd w:id="230"/>
      <w:bookmarkEnd w:id="231"/>
      <w:bookmarkEnd w:id="232"/>
    </w:p>
    <w:p w14:paraId="27417C79">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lang w:val="en-US" w:eastAsia="zh-CN"/>
        </w:rPr>
        <w:t>13</w:t>
      </w:r>
      <w:r>
        <w:rPr>
          <w:rFonts w:ascii="宋体" w:hAnsi="宋体"/>
          <w:color w:val="auto"/>
          <w:szCs w:val="21"/>
          <w:highlight w:val="none"/>
        </w:rPr>
        <w:t xml:space="preserve">.1 </w:t>
      </w:r>
      <w:r>
        <w:rPr>
          <w:rFonts w:hint="eastAsia" w:ascii="宋体" w:hAnsi="宋体"/>
          <w:color w:val="auto"/>
          <w:szCs w:val="21"/>
          <w:highlight w:val="none"/>
        </w:rPr>
        <w:t>验收资料</w:t>
      </w:r>
    </w:p>
    <w:p w14:paraId="0984C54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本合同设备验收前，承包人应提交给发包人下列验收资料一份：</w:t>
      </w:r>
    </w:p>
    <w:p w14:paraId="1367A2B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w:t>
      </w:r>
      <w:r>
        <w:rPr>
          <w:rFonts w:hint="eastAsia" w:ascii="宋体" w:hAnsi="宋体"/>
          <w:color w:val="auto"/>
          <w:szCs w:val="21"/>
          <w:highlight w:val="none"/>
        </w:rPr>
        <w:t xml:space="preserve"> 主要零件及结构件材料的材质证明文件与实验报告；</w:t>
      </w:r>
    </w:p>
    <w:p w14:paraId="266E0359">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 xml:space="preserve"> 重大缺陷处理记录和返修后的复验报告；</w:t>
      </w:r>
    </w:p>
    <w:p w14:paraId="27A5AE37">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 xml:space="preserve"> 组装、装配检查、检测记录及调试报告；</w:t>
      </w:r>
    </w:p>
    <w:p w14:paraId="3889D937">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 xml:space="preserve"> 主要材料代用通知单；</w:t>
      </w:r>
    </w:p>
    <w:p w14:paraId="5895B40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 xml:space="preserve"> 设计修改通知单；</w:t>
      </w:r>
    </w:p>
    <w:p w14:paraId="32985756">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 xml:space="preserve"> 制造设备出厂试验报告；</w:t>
      </w:r>
    </w:p>
    <w:p w14:paraId="3544A93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 xml:space="preserve"> 制造竣工图纸；</w:t>
      </w:r>
    </w:p>
    <w:p w14:paraId="5AA2CEE3">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 xml:space="preserve"> 外购设备、外购件产品合格证；</w:t>
      </w:r>
    </w:p>
    <w:p w14:paraId="710ADED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 xml:space="preserve"> 安装使用说明书；</w:t>
      </w:r>
    </w:p>
    <w:p w14:paraId="2E9FE1EC">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j)</w:t>
      </w:r>
      <w:r>
        <w:rPr>
          <w:rFonts w:hint="eastAsia" w:ascii="宋体" w:hAnsi="宋体"/>
          <w:color w:val="auto"/>
          <w:szCs w:val="21"/>
          <w:highlight w:val="none"/>
        </w:rPr>
        <w:t xml:space="preserve"> 产品清单；</w:t>
      </w:r>
    </w:p>
    <w:p w14:paraId="313098E7">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k)</w:t>
      </w:r>
      <w:r>
        <w:rPr>
          <w:rFonts w:hint="eastAsia" w:ascii="宋体" w:hAnsi="宋体"/>
          <w:color w:val="auto"/>
          <w:szCs w:val="21"/>
          <w:highlight w:val="none"/>
        </w:rPr>
        <w:t xml:space="preserve"> 产品合格证书；</w:t>
      </w:r>
    </w:p>
    <w:p w14:paraId="2B46ACE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l）仪器、设备保修证书（保修卡）；</w:t>
      </w:r>
    </w:p>
    <w:p w14:paraId="0E22D59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J）验收需要的其它资料；</w:t>
      </w:r>
    </w:p>
    <w:p w14:paraId="2D067916">
      <w:pPr>
        <w:spacing w:line="360" w:lineRule="auto"/>
        <w:ind w:firstLine="525" w:firstLineChars="2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12.2验收申请</w:t>
      </w:r>
    </w:p>
    <w:p w14:paraId="7AC272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本合同设备满足下列条件时，承包人应在</w:t>
      </w:r>
      <w:r>
        <w:rPr>
          <w:rFonts w:hint="eastAsia" w:ascii="宋体" w:hAnsi="宋体"/>
          <w:color w:val="auto"/>
          <w:szCs w:val="21"/>
          <w:highlight w:val="none"/>
          <w:lang w:val="en-US" w:eastAsia="zh-CN"/>
        </w:rPr>
        <w:t>3</w:t>
      </w:r>
      <w:r>
        <w:rPr>
          <w:rFonts w:hint="eastAsia" w:ascii="宋体" w:hAnsi="宋体"/>
          <w:color w:val="auto"/>
          <w:szCs w:val="21"/>
          <w:highlight w:val="none"/>
        </w:rPr>
        <w:t>天之前向发包人提出要求验收的报告：</w:t>
      </w:r>
    </w:p>
    <w:p w14:paraId="220E814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 xml:space="preserve"> 该项产品全部制造、组装和现场安装完毕，并处于可试验状态；</w:t>
      </w:r>
    </w:p>
    <w:p w14:paraId="2B04F900">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 xml:space="preserve"> 第</w:t>
      </w:r>
      <w:r>
        <w:rPr>
          <w:rFonts w:hint="eastAsia" w:ascii="宋体" w:hAnsi="宋体"/>
          <w:color w:val="auto"/>
          <w:szCs w:val="21"/>
          <w:highlight w:val="none"/>
          <w:lang w:val="en-US" w:eastAsia="zh-CN"/>
        </w:rPr>
        <w:t>13</w:t>
      </w:r>
      <w:r>
        <w:rPr>
          <w:rFonts w:hint="eastAsia" w:ascii="宋体" w:hAnsi="宋体"/>
          <w:color w:val="auto"/>
          <w:szCs w:val="21"/>
          <w:highlight w:val="none"/>
        </w:rPr>
        <w:t>.1款所及验收资料齐全并已提交给发包人。</w:t>
      </w:r>
    </w:p>
    <w:p w14:paraId="67B978D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13</w:t>
      </w:r>
      <w:r>
        <w:rPr>
          <w:rFonts w:hint="eastAsia" w:ascii="宋体" w:hAnsi="宋体"/>
          <w:color w:val="auto"/>
          <w:szCs w:val="21"/>
          <w:highlight w:val="none"/>
        </w:rPr>
        <w:t>.3 发包人可组织人员进行出厂验收，承包人应密切配合。</w:t>
      </w:r>
    </w:p>
    <w:p w14:paraId="718BBFF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13</w:t>
      </w:r>
      <w:r>
        <w:rPr>
          <w:rFonts w:hint="eastAsia" w:ascii="宋体" w:hAnsi="宋体"/>
          <w:color w:val="auto"/>
          <w:szCs w:val="21"/>
          <w:highlight w:val="none"/>
        </w:rPr>
        <w:t>.4 发包人有权要求对出厂验收资料的一项或数项进行复验，承包人应按发包人的要求进行复验。</w:t>
      </w:r>
    </w:p>
    <w:p w14:paraId="53DA99A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13</w:t>
      </w:r>
      <w:r>
        <w:rPr>
          <w:rFonts w:hint="eastAsia" w:ascii="宋体" w:hAnsi="宋体"/>
          <w:color w:val="auto"/>
          <w:szCs w:val="21"/>
          <w:highlight w:val="none"/>
        </w:rPr>
        <w:t>.5 出厂验收并不免除承包人对产品制造质量和本合同的外购设备质量应负的合同责任。</w:t>
      </w:r>
    </w:p>
    <w:p w14:paraId="16A64A45">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bookmarkStart w:id="269" w:name="_Toc120023194"/>
      <w:bookmarkStart w:id="270" w:name="_Toc298326681"/>
      <w:bookmarkStart w:id="271" w:name="_Toc438482790"/>
      <w:bookmarkStart w:id="272" w:name="_Toc228082557"/>
      <w:bookmarkStart w:id="273" w:name="_Toc358017193"/>
      <w:bookmarkStart w:id="274" w:name="_Toc228074034"/>
      <w:bookmarkStart w:id="275" w:name="_Toc229824527"/>
      <w:bookmarkStart w:id="276" w:name="_Toc139248605"/>
      <w:bookmarkStart w:id="277" w:name="_Toc227572794"/>
      <w:bookmarkStart w:id="278" w:name="_Toc438471699"/>
      <w:r>
        <w:rPr>
          <w:rFonts w:hint="eastAsia" w:ascii="宋体" w:hAnsi="宋体" w:eastAsia="宋体" w:cs="Times New Roman"/>
          <w:b/>
          <w:bCs/>
          <w:color w:val="auto"/>
          <w:sz w:val="21"/>
          <w:szCs w:val="21"/>
          <w:highlight w:val="none"/>
          <w:lang w:val="en-US" w:eastAsia="zh-CN"/>
        </w:rPr>
        <w:t>14. 设备货</w:t>
      </w:r>
      <w:bookmarkEnd w:id="269"/>
      <w:r>
        <w:rPr>
          <w:rFonts w:hint="eastAsia" w:ascii="宋体" w:hAnsi="宋体" w:eastAsia="宋体" w:cs="Times New Roman"/>
          <w:b/>
          <w:bCs/>
          <w:color w:val="auto"/>
          <w:sz w:val="21"/>
          <w:szCs w:val="21"/>
          <w:highlight w:val="none"/>
          <w:lang w:val="en-US" w:eastAsia="zh-CN"/>
        </w:rPr>
        <w:t>到及安装查验</w:t>
      </w:r>
      <w:bookmarkEnd w:id="270"/>
      <w:bookmarkEnd w:id="271"/>
      <w:bookmarkEnd w:id="272"/>
      <w:bookmarkEnd w:id="273"/>
      <w:bookmarkEnd w:id="274"/>
      <w:bookmarkEnd w:id="275"/>
      <w:bookmarkEnd w:id="276"/>
      <w:bookmarkEnd w:id="277"/>
      <w:bookmarkEnd w:id="278"/>
    </w:p>
    <w:p w14:paraId="407756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14</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本合同全部产品由承包人负责运输到安装现场，承包人必须对该运输方案负责，卸车、运输及保险、保管及完工验收之前的发生的一切费用和风险均由承包人负责，费用已包括在报价中。</w:t>
      </w:r>
    </w:p>
    <w:p w14:paraId="2D1CDBC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14</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设备运至安装现场和安装调试时的查验工作由</w:t>
      </w:r>
      <w:r>
        <w:rPr>
          <w:rFonts w:hint="eastAsia" w:ascii="宋体" w:hAnsi="宋体"/>
          <w:color w:val="auto"/>
          <w:szCs w:val="21"/>
          <w:highlight w:val="none"/>
          <w:lang w:val="en-US" w:eastAsia="zh-CN"/>
        </w:rPr>
        <w:t>监理</w:t>
      </w:r>
      <w:r>
        <w:rPr>
          <w:rFonts w:hint="eastAsia" w:ascii="宋体" w:hAnsi="宋体"/>
          <w:color w:val="auto"/>
          <w:szCs w:val="21"/>
          <w:highlight w:val="none"/>
        </w:rPr>
        <w:t>主持，承包人共同进行检查、清点，并办理登记手续。登记日期即为承包人的最终交货日期。</w:t>
      </w:r>
    </w:p>
    <w:p w14:paraId="7A0E04B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14</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设备到货查验和安装查验时，如发现有产品丢失、撞损或变形现象，则应由承包人负责及时补发、修理或矫正，修复的产品应经发包人复查认可后方可采用。</w:t>
      </w:r>
    </w:p>
    <w:p w14:paraId="3A98648C">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bookmarkStart w:id="279" w:name="_Toc298326682"/>
      <w:bookmarkStart w:id="280" w:name="_Toc227572795"/>
      <w:bookmarkStart w:id="281" w:name="_Toc139248606"/>
      <w:bookmarkStart w:id="282" w:name="_Toc229824528"/>
      <w:bookmarkStart w:id="283" w:name="_Toc438482791"/>
      <w:bookmarkStart w:id="284" w:name="_Toc358017194"/>
      <w:bookmarkStart w:id="285" w:name="_Toc228074035"/>
      <w:bookmarkStart w:id="286" w:name="_Toc438471700"/>
      <w:bookmarkStart w:id="287" w:name="_Toc120023195"/>
      <w:bookmarkStart w:id="288" w:name="_Toc228082558"/>
      <w:r>
        <w:rPr>
          <w:rFonts w:hint="eastAsia" w:ascii="宋体" w:hAnsi="宋体" w:eastAsia="宋体" w:cs="Times New Roman"/>
          <w:b/>
          <w:bCs/>
          <w:color w:val="auto"/>
          <w:sz w:val="21"/>
          <w:szCs w:val="21"/>
          <w:highlight w:val="none"/>
          <w:lang w:val="en-US" w:eastAsia="zh-CN"/>
        </w:rPr>
        <w:t>15. 安装、调试和现场服务</w:t>
      </w:r>
      <w:bookmarkEnd w:id="279"/>
      <w:bookmarkEnd w:id="280"/>
      <w:bookmarkEnd w:id="281"/>
      <w:bookmarkEnd w:id="282"/>
      <w:bookmarkEnd w:id="283"/>
      <w:bookmarkEnd w:id="284"/>
      <w:bookmarkEnd w:id="285"/>
      <w:bookmarkEnd w:id="286"/>
      <w:bookmarkEnd w:id="287"/>
      <w:bookmarkEnd w:id="288"/>
    </w:p>
    <w:p w14:paraId="3CEC06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15.1</w:t>
      </w:r>
      <w:r>
        <w:rPr>
          <w:rFonts w:hint="eastAsia" w:ascii="宋体" w:hAnsi="宋体"/>
          <w:color w:val="auto"/>
          <w:szCs w:val="21"/>
          <w:highlight w:val="none"/>
        </w:rPr>
        <w:t>承包人负责所供设备的安装、调试，对发包人提供人员培训服务及其它技术服务、现场服务。在现场安装、调试期间，承包人应派出技术人员到安装现场，进行实地安装和现场服务。</w:t>
      </w:r>
    </w:p>
    <w:p w14:paraId="00EA92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15.2</w:t>
      </w:r>
      <w:r>
        <w:rPr>
          <w:rFonts w:hint="eastAsia" w:ascii="宋体" w:hAnsi="宋体"/>
          <w:color w:val="auto"/>
          <w:szCs w:val="21"/>
          <w:highlight w:val="none"/>
        </w:rPr>
        <w:t>提供其他服务：如业主技术人员培训等。承包方负责对发包方技术人员、操作工人、维修人员进行免费培训服务，确保该系统正常运行。</w:t>
      </w:r>
      <w:r>
        <w:rPr>
          <w:rFonts w:ascii="宋体" w:hAnsi="宋体"/>
          <w:color w:val="auto"/>
          <w:szCs w:val="21"/>
          <w:highlight w:val="none"/>
        </w:rPr>
        <w:t xml:space="preserve">   </w:t>
      </w:r>
    </w:p>
    <w:p w14:paraId="3050B9C0">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289" w:name="_Toc358017195"/>
      <w:bookmarkStart w:id="290" w:name="_Toc229824529"/>
      <w:bookmarkStart w:id="291" w:name="_Toc298326683"/>
      <w:bookmarkStart w:id="292" w:name="_Toc208853166"/>
      <w:bookmarkStart w:id="293" w:name="_Toc227572796"/>
      <w:bookmarkStart w:id="294" w:name="_Toc208891985"/>
      <w:bookmarkStart w:id="295" w:name="_Toc228082559"/>
      <w:bookmarkStart w:id="296" w:name="_Toc438482792"/>
      <w:bookmarkStart w:id="297" w:name="_Toc228074036"/>
      <w:bookmarkStart w:id="298" w:name="_Toc438471701"/>
      <w:bookmarkStart w:id="299" w:name="_Toc208898066"/>
      <w:r>
        <w:rPr>
          <w:rFonts w:hint="eastAsia" w:ascii="宋体" w:hAnsi="宋体" w:eastAsia="宋体"/>
          <w:b/>
          <w:bCs/>
          <w:color w:val="auto"/>
          <w:sz w:val="21"/>
          <w:szCs w:val="21"/>
          <w:highlight w:val="none"/>
          <w:lang w:val="en-US" w:eastAsia="zh-CN"/>
        </w:rPr>
        <w:t>16.</w:t>
      </w:r>
      <w:r>
        <w:rPr>
          <w:rFonts w:ascii="宋体" w:hAnsi="宋体" w:eastAsia="宋体"/>
          <w:b/>
          <w:bCs/>
          <w:color w:val="auto"/>
          <w:sz w:val="21"/>
          <w:szCs w:val="21"/>
          <w:highlight w:val="none"/>
        </w:rPr>
        <w:t xml:space="preserve"> </w:t>
      </w:r>
      <w:bookmarkEnd w:id="289"/>
      <w:bookmarkEnd w:id="290"/>
      <w:bookmarkEnd w:id="291"/>
      <w:bookmarkEnd w:id="292"/>
      <w:bookmarkEnd w:id="293"/>
      <w:bookmarkEnd w:id="294"/>
      <w:bookmarkEnd w:id="295"/>
      <w:bookmarkEnd w:id="296"/>
      <w:bookmarkEnd w:id="297"/>
      <w:bookmarkEnd w:id="298"/>
      <w:bookmarkEnd w:id="299"/>
      <w:r>
        <w:rPr>
          <w:rFonts w:hint="eastAsia" w:ascii="宋体" w:hAnsi="宋体" w:eastAsia="宋体" w:cs="Times New Roman"/>
          <w:b/>
          <w:bCs/>
          <w:color w:val="auto"/>
          <w:sz w:val="21"/>
          <w:szCs w:val="21"/>
          <w:highlight w:val="none"/>
        </w:rPr>
        <w:t>缺陷责任与保修</w:t>
      </w:r>
    </w:p>
    <w:p w14:paraId="52E1DDFB">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300" w:name="_Toc351203599"/>
      <w:bookmarkStart w:id="301" w:name="_Toc532377287"/>
      <w:bookmarkStart w:id="302" w:name="_Toc337558816"/>
      <w:bookmarkStart w:id="303" w:name="_Toc296346615"/>
      <w:bookmarkStart w:id="304" w:name="_Toc296503114"/>
      <w:r>
        <w:rPr>
          <w:rFonts w:hint="eastAsia"/>
          <w:color w:val="auto"/>
          <w:sz w:val="21"/>
          <w:szCs w:val="21"/>
        </w:rPr>
        <w:t>1</w:t>
      </w:r>
      <w:r>
        <w:rPr>
          <w:rFonts w:hint="eastAsia"/>
          <w:color w:val="auto"/>
          <w:sz w:val="21"/>
          <w:szCs w:val="21"/>
          <w:lang w:val="en-US" w:eastAsia="zh-CN"/>
        </w:rPr>
        <w:t>6</w:t>
      </w:r>
      <w:r>
        <w:rPr>
          <w:rFonts w:hint="eastAsia"/>
          <w:color w:val="auto"/>
          <w:sz w:val="21"/>
          <w:szCs w:val="21"/>
        </w:rPr>
        <w:t>.1 工程保修的原则</w:t>
      </w:r>
      <w:bookmarkEnd w:id="300"/>
      <w:bookmarkEnd w:id="301"/>
    </w:p>
    <w:bookmarkEnd w:id="302"/>
    <w:p w14:paraId="3BB8D66D">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在工程移交发包人后，因承包人原因产生的质量缺陷，承包人应承担质量缺陷责任和保修义务。缺陷责任期届满，承包人仍应按合同约定的工程各部位保修年限承担保修义务。</w:t>
      </w:r>
    </w:p>
    <w:p w14:paraId="310B5F80">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305" w:name="_Toc532377288"/>
      <w:bookmarkStart w:id="306" w:name="_Toc351203600"/>
      <w:bookmarkStart w:id="307" w:name="_Toc337558817"/>
      <w:r>
        <w:rPr>
          <w:rFonts w:hint="eastAsia"/>
          <w:color w:val="auto"/>
          <w:sz w:val="21"/>
          <w:szCs w:val="21"/>
        </w:rPr>
        <w:t>1</w:t>
      </w:r>
      <w:r>
        <w:rPr>
          <w:rFonts w:hint="eastAsia"/>
          <w:color w:val="auto"/>
          <w:sz w:val="21"/>
          <w:szCs w:val="21"/>
          <w:lang w:val="en-US" w:eastAsia="zh-CN"/>
        </w:rPr>
        <w:t>6</w:t>
      </w:r>
      <w:r>
        <w:rPr>
          <w:rFonts w:hint="eastAsia"/>
          <w:color w:val="auto"/>
          <w:sz w:val="21"/>
          <w:szCs w:val="21"/>
        </w:rPr>
        <w:t>.2 缺陷责任期</w:t>
      </w:r>
      <w:bookmarkEnd w:id="303"/>
      <w:bookmarkEnd w:id="304"/>
      <w:bookmarkEnd w:id="305"/>
      <w:bookmarkEnd w:id="306"/>
    </w:p>
    <w:bookmarkEnd w:id="307"/>
    <w:p w14:paraId="3181584F">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6</w:t>
      </w:r>
      <w:r>
        <w:rPr>
          <w:rFonts w:hint="eastAsia" w:ascii="宋体" w:hAnsi="宋体"/>
          <w:color w:val="auto"/>
          <w:kern w:val="0"/>
          <w:szCs w:val="21"/>
        </w:rPr>
        <w:t>.2.1 缺陷责任期从工程通过竣工验收之日起计算，但该期限最长不超过24个月。</w:t>
      </w:r>
    </w:p>
    <w:p w14:paraId="0BE6E6EC">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A7C4571">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6</w:t>
      </w:r>
      <w:r>
        <w:rPr>
          <w:rFonts w:hint="eastAsia" w:ascii="宋体" w:hAnsi="宋体"/>
          <w:color w:val="auto"/>
          <w:kern w:val="0"/>
          <w:szCs w:val="21"/>
        </w:rPr>
        <w:t>.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07FFAB46">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由他人原因造成的缺陷，发包人负责组织维修，承包人不承担费用，且发包人不得从保证金中扣除费用。</w:t>
      </w:r>
    </w:p>
    <w:p w14:paraId="62708D29">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6</w:t>
      </w:r>
      <w:r>
        <w:rPr>
          <w:rFonts w:hint="eastAsia" w:ascii="宋体" w:hAnsi="宋体"/>
          <w:color w:val="auto"/>
          <w:kern w:val="0"/>
          <w:szCs w:val="21"/>
        </w:rPr>
        <w:t>.2.3 任何一项缺陷或损坏修复后，经检查证明其影响了工程或工程设备的使用性能，承包人应重新进行合同约定的试验和试运行，试验和试运行的全部费用应由责任方承担。</w:t>
      </w:r>
    </w:p>
    <w:p w14:paraId="6E62C38C">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6</w:t>
      </w:r>
      <w:r>
        <w:rPr>
          <w:rFonts w:hint="eastAsia" w:ascii="宋体" w:hAnsi="宋体"/>
          <w:color w:val="auto"/>
          <w:kern w:val="0"/>
          <w:szCs w:val="21"/>
        </w:rPr>
        <w:t>.2.4 除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9460C72">
      <w:pPr>
        <w:pStyle w:val="5"/>
        <w:keepNext w:val="0"/>
        <w:keepLines w:val="0"/>
        <w:pageBreakBefore w:val="0"/>
        <w:kinsoku/>
        <w:wordWrap/>
        <w:overflowPunct/>
        <w:topLinePunct w:val="0"/>
        <w:bidi w:val="0"/>
        <w:adjustRightInd/>
        <w:snapToGrid/>
        <w:spacing w:before="0" w:beforeAutospacing="0" w:after="0" w:afterAutospacing="0" w:line="390" w:lineRule="exact"/>
        <w:ind w:firstLine="422" w:firstLineChars="200"/>
        <w:textAlignment w:val="auto"/>
        <w:rPr>
          <w:color w:val="auto"/>
          <w:sz w:val="21"/>
          <w:szCs w:val="21"/>
        </w:rPr>
      </w:pPr>
      <w:bookmarkStart w:id="308" w:name="_Toc351203601"/>
      <w:bookmarkStart w:id="309" w:name="_Toc532377289"/>
      <w:bookmarkStart w:id="310" w:name="_Toc337558818"/>
      <w:r>
        <w:rPr>
          <w:rFonts w:hint="eastAsia"/>
          <w:color w:val="auto"/>
          <w:sz w:val="21"/>
          <w:szCs w:val="21"/>
        </w:rPr>
        <w:t>1</w:t>
      </w:r>
      <w:r>
        <w:rPr>
          <w:rFonts w:hint="eastAsia"/>
          <w:color w:val="auto"/>
          <w:sz w:val="21"/>
          <w:szCs w:val="21"/>
          <w:lang w:val="en-US" w:eastAsia="zh-CN"/>
        </w:rPr>
        <w:t>6</w:t>
      </w:r>
      <w:r>
        <w:rPr>
          <w:rFonts w:hint="eastAsia"/>
          <w:color w:val="auto"/>
          <w:sz w:val="21"/>
          <w:szCs w:val="21"/>
        </w:rPr>
        <w:t>.3 质量保证金</w:t>
      </w:r>
      <w:bookmarkEnd w:id="308"/>
      <w:bookmarkEnd w:id="309"/>
    </w:p>
    <w:bookmarkEnd w:id="310"/>
    <w:p w14:paraId="6B8AE6CF">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6</w:t>
      </w:r>
      <w:r>
        <w:rPr>
          <w:rFonts w:hint="eastAsia" w:ascii="宋体" w:hAnsi="宋体"/>
          <w:color w:val="auto"/>
          <w:kern w:val="0"/>
          <w:szCs w:val="21"/>
        </w:rPr>
        <w:t>.3.</w:t>
      </w:r>
      <w:r>
        <w:rPr>
          <w:rFonts w:hint="eastAsia" w:ascii="宋体" w:hAnsi="宋体"/>
          <w:color w:val="auto"/>
          <w:kern w:val="0"/>
          <w:szCs w:val="21"/>
          <w:lang w:val="en-US" w:eastAsia="zh-CN"/>
        </w:rPr>
        <w:t>1</w:t>
      </w:r>
      <w:r>
        <w:rPr>
          <w:rFonts w:hint="eastAsia" w:ascii="宋体" w:hAnsi="宋体"/>
          <w:color w:val="auto"/>
          <w:kern w:val="0"/>
          <w:szCs w:val="21"/>
        </w:rPr>
        <w:t xml:space="preserve"> 质量保证金的扣留</w:t>
      </w:r>
    </w:p>
    <w:p w14:paraId="23DFDD6A">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lang w:val="en-US" w:eastAsia="zh-CN"/>
        </w:rPr>
        <w:t>工程经竣工验收合格，发包人预留</w:t>
      </w:r>
      <w:r>
        <w:rPr>
          <w:rFonts w:hint="eastAsia" w:ascii="宋体" w:hAnsi="宋体"/>
          <w:color w:val="auto"/>
          <w:kern w:val="0"/>
          <w:szCs w:val="21"/>
        </w:rPr>
        <w:t>工程竣工结算时一次性工程价款结算总额</w:t>
      </w:r>
      <w:r>
        <w:rPr>
          <w:rFonts w:hint="eastAsia" w:ascii="宋体" w:hAnsi="宋体"/>
          <w:color w:val="auto"/>
          <w:kern w:val="0"/>
          <w:szCs w:val="21"/>
          <w:highlight w:val="none"/>
        </w:rPr>
        <w:t>的3%</w:t>
      </w:r>
      <w:r>
        <w:rPr>
          <w:rFonts w:hint="eastAsia" w:ascii="宋体" w:hAnsi="宋体"/>
          <w:color w:val="auto"/>
          <w:kern w:val="0"/>
          <w:szCs w:val="21"/>
          <w:lang w:val="en-US" w:eastAsia="zh-CN"/>
        </w:rPr>
        <w:t>作为</w:t>
      </w:r>
      <w:r>
        <w:rPr>
          <w:rFonts w:hint="eastAsia" w:ascii="宋体" w:hAnsi="宋体"/>
          <w:color w:val="auto"/>
          <w:kern w:val="0"/>
          <w:szCs w:val="21"/>
        </w:rPr>
        <w:t>质量保证金；</w:t>
      </w:r>
    </w:p>
    <w:p w14:paraId="3916838F">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发包人在退还质量保证金的同时按照中国人民银行发布的同期同类贷款基准利率支付利息。</w:t>
      </w:r>
    </w:p>
    <w:p w14:paraId="301C0CDB">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6</w:t>
      </w:r>
      <w:r>
        <w:rPr>
          <w:rFonts w:hint="eastAsia" w:ascii="宋体" w:hAnsi="宋体"/>
          <w:color w:val="auto"/>
          <w:kern w:val="0"/>
          <w:szCs w:val="21"/>
        </w:rPr>
        <w:t>.3.</w:t>
      </w:r>
      <w:r>
        <w:rPr>
          <w:rFonts w:hint="eastAsia" w:ascii="宋体" w:hAnsi="宋体"/>
          <w:color w:val="auto"/>
          <w:kern w:val="0"/>
          <w:szCs w:val="21"/>
          <w:lang w:val="en-US" w:eastAsia="zh-CN"/>
        </w:rPr>
        <w:t>2</w:t>
      </w:r>
      <w:r>
        <w:rPr>
          <w:rFonts w:hint="eastAsia" w:ascii="宋体" w:hAnsi="宋体"/>
          <w:color w:val="auto"/>
          <w:kern w:val="0"/>
          <w:szCs w:val="21"/>
        </w:rPr>
        <w:t xml:space="preserve"> 质量保证金的退还</w:t>
      </w:r>
    </w:p>
    <w:p w14:paraId="03485AC7">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缺陷责任期内，承包人认真履行合同约定的责任，到期后，承包人可向发包人申请返还保证金。</w:t>
      </w:r>
    </w:p>
    <w:p w14:paraId="3CDD172D">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ascii="宋体" w:hAnsi="宋体"/>
          <w:color w:val="auto"/>
          <w:kern w:val="0"/>
          <w:szCs w:val="21"/>
        </w:rPr>
      </w:pPr>
      <w:r>
        <w:rPr>
          <w:rFonts w:hint="eastAsia" w:ascii="宋体" w:hAnsi="宋体"/>
          <w:color w:val="auto"/>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044E9C9">
      <w:pPr>
        <w:keepNext w:val="0"/>
        <w:keepLines w:val="0"/>
        <w:pageBreakBefore w:val="0"/>
        <w:kinsoku/>
        <w:wordWrap/>
        <w:overflowPunct/>
        <w:topLinePunct w:val="0"/>
        <w:autoSpaceDE w:val="0"/>
        <w:autoSpaceDN w:val="0"/>
        <w:bidi w:val="0"/>
        <w:adjustRightInd/>
        <w:snapToGrid/>
        <w:spacing w:beforeAutospacing="0" w:afterAutospacing="0" w:line="390" w:lineRule="exact"/>
        <w:ind w:firstLine="420" w:firstLineChars="200"/>
        <w:jc w:val="left"/>
        <w:textAlignment w:val="auto"/>
        <w:rPr>
          <w:rFonts w:hint="eastAsia" w:ascii="宋体" w:hAnsi="宋体"/>
          <w:color w:val="auto"/>
          <w:szCs w:val="21"/>
          <w:highlight w:val="none"/>
        </w:rPr>
      </w:pPr>
      <w:r>
        <w:rPr>
          <w:rFonts w:hint="eastAsia" w:ascii="宋体" w:hAnsi="宋体"/>
          <w:color w:val="auto"/>
          <w:kern w:val="0"/>
          <w:szCs w:val="21"/>
        </w:rPr>
        <w:t>发包人和承包人对保证金预留、返还以及工程维修质量、费用有争议的，按合同约定的争议和纠纷解决程序处理。</w:t>
      </w:r>
    </w:p>
    <w:p w14:paraId="4540B033">
      <w:pPr>
        <w:spacing w:line="360" w:lineRule="auto"/>
        <w:ind w:firstLine="422" w:firstLineChars="200"/>
        <w:outlineLvl w:val="3"/>
        <w:rPr>
          <w:rFonts w:hint="eastAsia" w:ascii="宋体" w:hAnsi="宋体"/>
          <w:b/>
          <w:color w:val="auto"/>
          <w:szCs w:val="21"/>
          <w:highlight w:val="none"/>
        </w:rPr>
      </w:pPr>
      <w:bookmarkStart w:id="311" w:name="_Toc438471702"/>
      <w:bookmarkStart w:id="312" w:name="_Toc438482793"/>
      <w:bookmarkStart w:id="313" w:name="_Toc208853167"/>
      <w:bookmarkStart w:id="314" w:name="_Toc229824530"/>
      <w:bookmarkStart w:id="315" w:name="_Toc228074037"/>
      <w:bookmarkStart w:id="316" w:name="_Toc208891986"/>
      <w:bookmarkStart w:id="317" w:name="_Toc298326684"/>
      <w:bookmarkStart w:id="318" w:name="_Toc228082560"/>
      <w:bookmarkStart w:id="319" w:name="_Toc208898067"/>
      <w:bookmarkStart w:id="320" w:name="_Toc227572797"/>
      <w:bookmarkStart w:id="321" w:name="_Toc358017196"/>
      <w:r>
        <w:rPr>
          <w:rFonts w:hint="eastAsia" w:ascii="宋体" w:hAnsi="宋体"/>
          <w:b/>
          <w:color w:val="auto"/>
          <w:szCs w:val="21"/>
          <w:highlight w:val="none"/>
          <w:lang w:val="en-US" w:eastAsia="zh-CN"/>
        </w:rPr>
        <w:t>17.</w:t>
      </w:r>
      <w:r>
        <w:rPr>
          <w:rFonts w:hint="eastAsia" w:ascii="宋体" w:hAnsi="宋体"/>
          <w:b/>
          <w:color w:val="auto"/>
          <w:szCs w:val="21"/>
          <w:highlight w:val="none"/>
        </w:rPr>
        <w:t xml:space="preserve"> 付款与结算</w:t>
      </w:r>
      <w:bookmarkEnd w:id="311"/>
      <w:bookmarkEnd w:id="312"/>
      <w:bookmarkEnd w:id="313"/>
      <w:bookmarkEnd w:id="314"/>
      <w:bookmarkEnd w:id="315"/>
      <w:bookmarkEnd w:id="316"/>
      <w:bookmarkEnd w:id="317"/>
      <w:bookmarkEnd w:id="318"/>
      <w:bookmarkEnd w:id="319"/>
      <w:bookmarkEnd w:id="320"/>
      <w:bookmarkEnd w:id="321"/>
    </w:p>
    <w:p w14:paraId="5DD553DE">
      <w:pPr>
        <w:tabs>
          <w:tab w:val="left" w:pos="8100"/>
        </w:tabs>
        <w:spacing w:line="360" w:lineRule="auto"/>
        <w:ind w:firstLine="420" w:firstLineChars="200"/>
        <w:rPr>
          <w:rFonts w:hint="eastAsia" w:ascii="宋体" w:hAnsi="宋体"/>
          <w:b w:val="0"/>
          <w:bCs w:val="0"/>
          <w:color w:val="auto"/>
          <w:szCs w:val="21"/>
          <w:highlight w:val="none"/>
          <w:u w:val="single"/>
        </w:rPr>
      </w:pPr>
      <w:bookmarkStart w:id="322" w:name="_Toc438471703"/>
      <w:bookmarkStart w:id="323" w:name="_Toc438482794"/>
      <w:bookmarkStart w:id="324" w:name="_Toc362536190"/>
      <w:bookmarkStart w:id="325" w:name="_Toc228074038"/>
      <w:bookmarkStart w:id="326" w:name="_Toc227572798"/>
      <w:bookmarkStart w:id="327" w:name="_Toc229824531"/>
      <w:bookmarkStart w:id="328" w:name="_Toc228082561"/>
      <w:bookmarkStart w:id="329" w:name="_Toc298326685"/>
      <w:bookmarkStart w:id="330" w:name="_Toc358017197"/>
      <w:r>
        <w:rPr>
          <w:rFonts w:hint="eastAsia" w:ascii="宋体" w:hAnsi="宋体"/>
          <w:b w:val="0"/>
          <w:bCs w:val="0"/>
          <w:color w:val="auto"/>
          <w:szCs w:val="21"/>
          <w:highlight w:val="none"/>
          <w:lang w:val="en-US" w:eastAsia="zh-CN"/>
        </w:rPr>
        <w:t>17</w:t>
      </w:r>
      <w:r>
        <w:rPr>
          <w:rFonts w:ascii="宋体" w:hAnsi="宋体"/>
          <w:b w:val="0"/>
          <w:bCs w:val="0"/>
          <w:color w:val="auto"/>
          <w:szCs w:val="21"/>
          <w:highlight w:val="none"/>
        </w:rPr>
        <w:t>.</w:t>
      </w:r>
      <w:r>
        <w:rPr>
          <w:rFonts w:hint="eastAsia" w:ascii="宋体" w:hAnsi="宋体"/>
          <w:b w:val="0"/>
          <w:bCs w:val="0"/>
          <w:color w:val="auto"/>
          <w:szCs w:val="21"/>
          <w:highlight w:val="none"/>
          <w:lang w:val="en-US" w:eastAsia="zh-CN"/>
        </w:rPr>
        <w:t>1</w:t>
      </w:r>
      <w:r>
        <w:rPr>
          <w:rFonts w:hint="eastAsia" w:ascii="宋体" w:hAnsi="宋体"/>
          <w:b w:val="0"/>
          <w:bCs w:val="0"/>
          <w:color w:val="auto"/>
          <w:szCs w:val="21"/>
          <w:highlight w:val="none"/>
        </w:rPr>
        <w:t>付款与结算</w:t>
      </w:r>
      <w:bookmarkEnd w:id="322"/>
      <w:bookmarkEnd w:id="323"/>
      <w:bookmarkEnd w:id="324"/>
      <w:bookmarkEnd w:id="325"/>
      <w:bookmarkEnd w:id="326"/>
      <w:bookmarkEnd w:id="327"/>
      <w:bookmarkEnd w:id="328"/>
      <w:bookmarkEnd w:id="329"/>
      <w:bookmarkEnd w:id="330"/>
    </w:p>
    <w:p w14:paraId="0B899C44">
      <w:pPr>
        <w:spacing w:line="360" w:lineRule="auto"/>
        <w:ind w:firstLine="525" w:firstLineChars="250"/>
        <w:rPr>
          <w:rFonts w:hint="eastAsia" w:ascii="方正仿宋_GBK" w:hAnsi="方正仿宋_GBK" w:eastAsia="方正仿宋_GBK" w:cs="方正仿宋_GBK"/>
          <w:bCs/>
          <w:kern w:val="0"/>
          <w:sz w:val="24"/>
          <w:highlight w:val="none"/>
          <w:u w:val="single"/>
        </w:rPr>
      </w:pPr>
      <w:r>
        <w:rPr>
          <w:rFonts w:hint="eastAsia" w:ascii="宋体" w:hAnsi="宋体"/>
          <w:color w:val="auto"/>
          <w:szCs w:val="21"/>
          <w:highlight w:val="none"/>
          <w:lang w:val="en-US" w:eastAsia="zh-CN"/>
        </w:rPr>
        <w:t>17.1.1投运款（  %）：承包人</w:t>
      </w:r>
      <w:r>
        <w:rPr>
          <w:rFonts w:hint="eastAsia" w:ascii="方正仿宋_GBK" w:hAnsi="方正仿宋_GBK" w:eastAsia="方正仿宋_GBK" w:cs="方正仿宋_GBK"/>
          <w:bCs/>
          <w:kern w:val="0"/>
          <w:sz w:val="24"/>
          <w:highlight w:val="none"/>
          <w:u w:val="single"/>
        </w:rPr>
        <w:t>完成</w:t>
      </w:r>
      <w:r>
        <w:rPr>
          <w:rFonts w:hint="eastAsia" w:ascii="方正仿宋_GBK" w:hAnsi="方正仿宋_GBK" w:eastAsia="方正仿宋_GBK" w:cs="方正仿宋_GBK"/>
          <w:bCs/>
          <w:kern w:val="0"/>
          <w:sz w:val="24"/>
          <w:highlight w:val="none"/>
          <w:u w:val="single"/>
          <w:lang w:val="en-US" w:eastAsia="zh-CN"/>
        </w:rPr>
        <w:t>合同约定施工内容</w:t>
      </w:r>
      <w:r>
        <w:rPr>
          <w:rFonts w:hint="eastAsia" w:ascii="方正仿宋_GBK" w:hAnsi="方正仿宋_GBK" w:eastAsia="方正仿宋_GBK" w:cs="方正仿宋_GBK"/>
          <w:bCs/>
          <w:kern w:val="0"/>
          <w:sz w:val="24"/>
          <w:highlight w:val="none"/>
          <w:u w:val="single"/>
        </w:rPr>
        <w:t>并经</w:t>
      </w:r>
      <w:r>
        <w:rPr>
          <w:rFonts w:hint="eastAsia" w:ascii="方正仿宋_GBK" w:hAnsi="方正仿宋_GBK" w:eastAsia="方正仿宋_GBK" w:cs="方正仿宋_GBK"/>
          <w:bCs/>
          <w:kern w:val="0"/>
          <w:sz w:val="24"/>
          <w:highlight w:val="none"/>
          <w:u w:val="single"/>
          <w:lang w:val="en-US" w:eastAsia="zh-CN"/>
        </w:rPr>
        <w:t>验收</w:t>
      </w:r>
      <w:r>
        <w:rPr>
          <w:rFonts w:hint="eastAsia" w:ascii="方正仿宋_GBK" w:hAnsi="方正仿宋_GBK" w:eastAsia="方正仿宋_GBK" w:cs="方正仿宋_GBK"/>
          <w:bCs/>
          <w:kern w:val="0"/>
          <w:sz w:val="24"/>
          <w:highlight w:val="none"/>
          <w:u w:val="single"/>
        </w:rPr>
        <w:t>合格后，卖方凭支付申请书、全额增值税发票等手续办理投运款支付。根据</w:t>
      </w:r>
      <w:r>
        <w:rPr>
          <w:rFonts w:hint="eastAsia" w:ascii="方正仿宋_GBK" w:hAnsi="方正仿宋_GBK" w:eastAsia="方正仿宋_GBK" w:cs="方正仿宋_GBK"/>
          <w:bCs/>
          <w:kern w:val="0"/>
          <w:sz w:val="24"/>
          <w:highlight w:val="none"/>
          <w:u w:val="single"/>
          <w:lang w:val="en-US" w:eastAsia="zh-CN"/>
        </w:rPr>
        <w:t>甲方</w:t>
      </w:r>
      <w:r>
        <w:rPr>
          <w:rFonts w:hint="eastAsia" w:ascii="方正仿宋_GBK" w:hAnsi="方正仿宋_GBK" w:eastAsia="方正仿宋_GBK" w:cs="方正仿宋_GBK"/>
          <w:bCs/>
          <w:kern w:val="0"/>
          <w:sz w:val="24"/>
          <w:highlight w:val="none"/>
          <w:u w:val="single"/>
        </w:rPr>
        <w:t>出具的《竣工验收表》，审核手续无误后</w:t>
      </w:r>
      <w:r>
        <w:rPr>
          <w:rFonts w:hint="eastAsia" w:ascii="方正仿宋_GBK" w:hAnsi="方正仿宋_GBK" w:eastAsia="方正仿宋_GBK" w:cs="方正仿宋_GBK"/>
          <w:bCs/>
          <w:kern w:val="0"/>
          <w:sz w:val="24"/>
          <w:highlight w:val="none"/>
          <w:u w:val="single"/>
          <w:lang w:val="en-US" w:eastAsia="zh-CN"/>
        </w:rPr>
        <w:t xml:space="preserve">      </w:t>
      </w:r>
      <w:r>
        <w:rPr>
          <w:rFonts w:hint="eastAsia" w:ascii="方正仿宋_GBK" w:hAnsi="方正仿宋_GBK" w:eastAsia="方正仿宋_GBK" w:cs="方正仿宋_GBK"/>
          <w:bCs/>
          <w:kern w:val="0"/>
          <w:sz w:val="24"/>
          <w:highlight w:val="none"/>
          <w:u w:val="single"/>
        </w:rPr>
        <w:t>个工作日内完成支付</w:t>
      </w:r>
    </w:p>
    <w:p w14:paraId="154BF8A2">
      <w:pPr>
        <w:autoSpaceDE w:val="0"/>
        <w:autoSpaceDN w:val="0"/>
        <w:adjustRightInd w:val="0"/>
        <w:spacing w:line="400" w:lineRule="exact"/>
        <w:ind w:firstLine="480" w:firstLineChars="200"/>
        <w:jc w:val="left"/>
        <w:rPr>
          <w:rFonts w:hint="eastAsia" w:ascii="方正仿宋_GBK" w:hAnsi="方正仿宋_GBK" w:eastAsia="方正仿宋_GBK" w:cs="方正仿宋_GBK"/>
          <w:bCs/>
          <w:kern w:val="0"/>
          <w:sz w:val="24"/>
          <w:highlight w:val="none"/>
          <w:u w:val="single"/>
        </w:rPr>
      </w:pPr>
      <w:r>
        <w:rPr>
          <w:rFonts w:hint="eastAsia" w:ascii="方正仿宋_GBK" w:hAnsi="方正仿宋_GBK" w:eastAsia="方正仿宋_GBK" w:cs="方正仿宋_GBK"/>
          <w:bCs/>
          <w:kern w:val="0"/>
          <w:sz w:val="24"/>
          <w:highlight w:val="none"/>
          <w:u w:val="single"/>
          <w:lang w:val="en-US" w:eastAsia="zh-CN"/>
        </w:rPr>
        <w:t>17.1.2</w:t>
      </w:r>
      <w:r>
        <w:rPr>
          <w:rFonts w:hint="eastAsia" w:ascii="方正仿宋_GBK" w:hAnsi="方正仿宋_GBK" w:eastAsia="方正仿宋_GBK" w:cs="方正仿宋_GBK"/>
          <w:bCs/>
          <w:kern w:val="0"/>
          <w:sz w:val="24"/>
          <w:highlight w:val="none"/>
          <w:u w:val="single"/>
        </w:rPr>
        <w:t>质保金（</w:t>
      </w:r>
      <w:r>
        <w:rPr>
          <w:rFonts w:hint="eastAsia" w:ascii="方正仿宋_GBK" w:hAnsi="方正仿宋_GBK" w:eastAsia="方正仿宋_GBK" w:cs="方正仿宋_GBK"/>
          <w:bCs/>
          <w:kern w:val="0"/>
          <w:sz w:val="24"/>
          <w:highlight w:val="none"/>
          <w:u w:val="single"/>
          <w:lang w:val="en-US" w:eastAsia="zh-CN"/>
        </w:rPr>
        <w:t xml:space="preserve">   </w:t>
      </w:r>
      <w:r>
        <w:rPr>
          <w:rFonts w:hint="eastAsia" w:ascii="方正仿宋_GBK" w:hAnsi="方正仿宋_GBK" w:eastAsia="方正仿宋_GBK" w:cs="方正仿宋_GBK"/>
          <w:bCs/>
          <w:kern w:val="0"/>
          <w:sz w:val="24"/>
          <w:highlight w:val="none"/>
          <w:u w:val="single"/>
        </w:rPr>
        <w:t>%）：自</w:t>
      </w:r>
      <w:r>
        <w:rPr>
          <w:rFonts w:hint="eastAsia" w:ascii="方正仿宋_GBK" w:hAnsi="方正仿宋_GBK" w:eastAsia="方正仿宋_GBK" w:cs="方正仿宋_GBK"/>
          <w:bCs/>
          <w:kern w:val="0"/>
          <w:sz w:val="24"/>
          <w:highlight w:val="none"/>
          <w:u w:val="single"/>
          <w:lang w:val="en-US" w:eastAsia="zh-CN"/>
        </w:rPr>
        <w:t>竣工验收合格</w:t>
      </w:r>
      <w:r>
        <w:rPr>
          <w:rFonts w:hint="eastAsia" w:ascii="方正仿宋_GBK" w:hAnsi="方正仿宋_GBK" w:eastAsia="方正仿宋_GBK" w:cs="方正仿宋_GBK"/>
          <w:bCs/>
          <w:kern w:val="0"/>
          <w:sz w:val="24"/>
          <w:highlight w:val="none"/>
          <w:u w:val="single"/>
        </w:rPr>
        <w:t>之日起安全运行一年后，买方出具《工程（设备）质保期满技术鉴定表》，审核手续无误后</w:t>
      </w:r>
      <w:r>
        <w:rPr>
          <w:rFonts w:hint="eastAsia" w:ascii="方正仿宋_GBK" w:hAnsi="方正仿宋_GBK" w:eastAsia="方正仿宋_GBK" w:cs="方正仿宋_GBK"/>
          <w:bCs/>
          <w:kern w:val="0"/>
          <w:sz w:val="24"/>
          <w:highlight w:val="none"/>
          <w:u w:val="single"/>
          <w:lang w:val="en-US" w:eastAsia="zh-CN"/>
        </w:rPr>
        <w:t xml:space="preserve">     </w:t>
      </w:r>
      <w:r>
        <w:rPr>
          <w:rFonts w:hint="eastAsia" w:ascii="方正仿宋_GBK" w:hAnsi="方正仿宋_GBK" w:eastAsia="方正仿宋_GBK" w:cs="方正仿宋_GBK"/>
          <w:bCs/>
          <w:kern w:val="0"/>
          <w:sz w:val="24"/>
          <w:highlight w:val="none"/>
          <w:u w:val="single"/>
        </w:rPr>
        <w:t>个工作日内完成支付。</w:t>
      </w:r>
    </w:p>
    <w:p w14:paraId="32D68EC1">
      <w:pPr>
        <w:spacing w:line="360" w:lineRule="auto"/>
        <w:ind w:firstLine="420" w:firstLineChars="200"/>
        <w:rPr>
          <w:rFonts w:ascii="宋体" w:hAnsi="宋体"/>
          <w:b w:val="0"/>
          <w:bCs w:val="0"/>
          <w:color w:val="auto"/>
          <w:szCs w:val="21"/>
          <w:highlight w:val="none"/>
        </w:rPr>
      </w:pPr>
      <w:bookmarkStart w:id="331" w:name="_Toc229824532"/>
      <w:bookmarkStart w:id="332" w:name="_Toc227572799"/>
      <w:bookmarkStart w:id="333" w:name="_Toc358017198"/>
      <w:bookmarkStart w:id="334" w:name="_Toc438482795"/>
      <w:bookmarkStart w:id="335" w:name="_Toc228074039"/>
      <w:bookmarkStart w:id="336" w:name="_Toc228082562"/>
      <w:bookmarkStart w:id="337" w:name="_Toc362536191"/>
      <w:bookmarkStart w:id="338" w:name="_Toc438471704"/>
      <w:bookmarkStart w:id="339" w:name="_Toc298326686"/>
      <w:r>
        <w:rPr>
          <w:rFonts w:hint="eastAsia" w:ascii="宋体" w:hAnsi="宋体"/>
          <w:b w:val="0"/>
          <w:bCs w:val="0"/>
          <w:color w:val="auto"/>
          <w:szCs w:val="21"/>
          <w:highlight w:val="none"/>
          <w:lang w:val="en-US" w:eastAsia="zh-CN"/>
        </w:rPr>
        <w:t>17</w:t>
      </w:r>
      <w:r>
        <w:rPr>
          <w:rFonts w:ascii="宋体" w:hAnsi="宋体"/>
          <w:b w:val="0"/>
          <w:bCs w:val="0"/>
          <w:color w:val="auto"/>
          <w:szCs w:val="21"/>
          <w:highlight w:val="none"/>
        </w:rPr>
        <w:t>.</w:t>
      </w: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 xml:space="preserve"> </w:t>
      </w:r>
      <w:r>
        <w:rPr>
          <w:rFonts w:hint="eastAsia" w:ascii="宋体" w:hAnsi="宋体"/>
          <w:b w:val="0"/>
          <w:bCs w:val="0"/>
          <w:color w:val="auto"/>
          <w:szCs w:val="21"/>
          <w:highlight w:val="none"/>
          <w:lang w:val="en-US" w:eastAsia="zh-CN"/>
        </w:rPr>
        <w:t>承包人应于工程试运行结束后30日内提交符合要求的竣工结算资料。</w:t>
      </w:r>
      <w:r>
        <w:rPr>
          <w:rFonts w:hint="eastAsia" w:ascii="宋体" w:hAnsi="宋体"/>
          <w:b w:val="0"/>
          <w:bCs w:val="0"/>
          <w:color w:val="auto"/>
          <w:szCs w:val="21"/>
          <w:highlight w:val="none"/>
        </w:rPr>
        <w:t>结算前，承包人必须提交下列文件：</w:t>
      </w:r>
      <w:bookmarkEnd w:id="331"/>
      <w:bookmarkEnd w:id="332"/>
      <w:bookmarkEnd w:id="333"/>
      <w:bookmarkEnd w:id="334"/>
      <w:bookmarkEnd w:id="335"/>
      <w:bookmarkEnd w:id="336"/>
      <w:bookmarkEnd w:id="337"/>
      <w:bookmarkEnd w:id="338"/>
      <w:bookmarkEnd w:id="339"/>
      <w:r>
        <w:rPr>
          <w:rFonts w:hint="eastAsia" w:ascii="宋体" w:hAnsi="宋体"/>
          <w:b w:val="0"/>
          <w:bCs w:val="0"/>
          <w:color w:val="auto"/>
          <w:szCs w:val="21"/>
          <w:highlight w:val="none"/>
        </w:rPr>
        <w:t xml:space="preserve"> </w:t>
      </w:r>
    </w:p>
    <w:p w14:paraId="2B235F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 产品交付清单；</w:t>
      </w:r>
    </w:p>
    <w:p w14:paraId="47A15D5F">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）相关规范规定及本合同约定的全部竣工资料（包括但不限于质量评定、竣工图等）。</w:t>
      </w:r>
    </w:p>
    <w:p w14:paraId="413FEB85">
      <w:pPr>
        <w:spacing w:line="440" w:lineRule="exact"/>
        <w:ind w:firstLine="315" w:firstLineChars="150"/>
        <w:rPr>
          <w:rFonts w:hint="eastAsia" w:ascii="宋体" w:hAnsi="宋体" w:cs="宋体"/>
          <w:color w:val="auto"/>
          <w:kern w:val="0"/>
          <w:szCs w:val="21"/>
          <w:highlight w:val="none"/>
        </w:rPr>
      </w:pPr>
      <w:bookmarkStart w:id="340" w:name="_Toc228074040"/>
      <w:bookmarkStart w:id="341" w:name="_Toc358017199"/>
      <w:bookmarkStart w:id="342" w:name="_Toc438471705"/>
      <w:bookmarkStart w:id="343" w:name="_Toc227572800"/>
      <w:bookmarkStart w:id="344" w:name="_Toc298326687"/>
      <w:bookmarkStart w:id="345" w:name="_Toc208853168"/>
      <w:bookmarkStart w:id="346" w:name="_Toc438482796"/>
      <w:bookmarkStart w:id="347" w:name="_Toc228082563"/>
      <w:bookmarkStart w:id="348" w:name="_Toc208891987"/>
      <w:bookmarkStart w:id="349" w:name="_Toc229824533"/>
      <w:bookmarkStart w:id="350" w:name="_Toc208898068"/>
      <w:r>
        <w:rPr>
          <w:rFonts w:hint="eastAsia" w:ascii="宋体" w:hAnsi="宋体" w:cs="宋体"/>
          <w:color w:val="auto"/>
          <w:kern w:val="0"/>
          <w:szCs w:val="21"/>
          <w:highlight w:val="none"/>
          <w:lang w:val="en-US" w:eastAsia="zh-CN"/>
        </w:rPr>
        <w:t>17.3</w:t>
      </w:r>
      <w:r>
        <w:rPr>
          <w:rFonts w:hint="eastAsia" w:ascii="宋体" w:hAnsi="宋体" w:cs="宋体"/>
          <w:color w:val="auto"/>
          <w:kern w:val="0"/>
          <w:szCs w:val="21"/>
          <w:highlight w:val="none"/>
        </w:rPr>
        <w:t>结算原则：</w:t>
      </w:r>
      <w:r>
        <w:rPr>
          <w:rFonts w:hint="eastAsia" w:ascii="宋体" w:hAnsi="宋体" w:cs="宋体"/>
          <w:color w:val="auto"/>
          <w:szCs w:val="21"/>
          <w:highlight w:val="none"/>
          <w:u w:val="single"/>
        </w:rPr>
        <w:t>本合同价款采用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合同</w:t>
      </w:r>
    </w:p>
    <w:p w14:paraId="4E24668C">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18.</w:t>
      </w:r>
      <w:r>
        <w:rPr>
          <w:rFonts w:hint="eastAsia" w:ascii="宋体" w:hAnsi="宋体" w:eastAsia="宋体"/>
          <w:b/>
          <w:bCs/>
          <w:color w:val="auto"/>
          <w:sz w:val="21"/>
          <w:szCs w:val="21"/>
          <w:highlight w:val="none"/>
        </w:rPr>
        <w:t xml:space="preserve"> 违约、罚金</w:t>
      </w:r>
      <w:bookmarkEnd w:id="340"/>
      <w:bookmarkEnd w:id="341"/>
      <w:bookmarkEnd w:id="342"/>
      <w:bookmarkEnd w:id="343"/>
      <w:bookmarkEnd w:id="344"/>
      <w:bookmarkEnd w:id="345"/>
      <w:bookmarkEnd w:id="346"/>
      <w:bookmarkEnd w:id="347"/>
      <w:bookmarkEnd w:id="348"/>
      <w:bookmarkEnd w:id="349"/>
      <w:bookmarkEnd w:id="350"/>
    </w:p>
    <w:p w14:paraId="20888CF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承包人未履行本合同义务属违约，发包人停止支付相应款项并有权索赔。</w:t>
      </w:r>
    </w:p>
    <w:p w14:paraId="1CC99619">
      <w:pPr>
        <w:pStyle w:val="12"/>
        <w:spacing w:line="360" w:lineRule="auto"/>
        <w:rPr>
          <w:rFonts w:hint="eastAsia"/>
          <w:color w:val="auto"/>
          <w:highlight w:val="none"/>
        </w:rPr>
      </w:pPr>
      <w:r>
        <w:rPr>
          <w:rFonts w:hint="eastAsia"/>
          <w:color w:val="auto"/>
          <w:highlight w:val="none"/>
        </w:rPr>
        <w:t>发包人未按合同约定支付相应款项属违约，承包人有权索赔。</w:t>
      </w:r>
    </w:p>
    <w:p w14:paraId="325B7F85">
      <w:pPr>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18.</w:t>
      </w:r>
      <w:r>
        <w:rPr>
          <w:rFonts w:hint="eastAsia" w:ascii="宋体" w:hAnsi="宋体"/>
          <w:b w:val="0"/>
          <w:bCs w:val="0"/>
          <w:color w:val="auto"/>
          <w:szCs w:val="21"/>
          <w:highlight w:val="none"/>
        </w:rPr>
        <w:t>1 承包人未履行本合同义务，均属违约，应向发包人承担违约而造成的损失。</w:t>
      </w:r>
    </w:p>
    <w:p w14:paraId="31D07DF9">
      <w:pPr>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18.</w:t>
      </w:r>
      <w:r>
        <w:rPr>
          <w:rFonts w:hint="eastAsia" w:ascii="宋体" w:hAnsi="宋体"/>
          <w:b w:val="0"/>
          <w:bCs w:val="0"/>
          <w:color w:val="auto"/>
          <w:szCs w:val="21"/>
          <w:highlight w:val="none"/>
        </w:rPr>
        <w:t>2 承包人未能在本合同规定的日期，或经双方协商同意的延期期限内交付验收，则承包人应向发包人支付逾期罚金。罚金率按合同金额逾期每天</w:t>
      </w:r>
      <w:r>
        <w:rPr>
          <w:rFonts w:hint="eastAsia" w:ascii="宋体" w:hAnsi="宋体"/>
          <w:b w:val="0"/>
          <w:bCs w:val="0"/>
          <w:color w:val="auto"/>
          <w:szCs w:val="21"/>
          <w:highlight w:val="none"/>
          <w:u w:val="single"/>
        </w:rPr>
        <w:t>0.1%</w:t>
      </w:r>
      <w:r>
        <w:rPr>
          <w:rFonts w:hint="eastAsia" w:ascii="宋体" w:hAnsi="宋体"/>
          <w:b w:val="0"/>
          <w:bCs w:val="0"/>
          <w:color w:val="auto"/>
          <w:szCs w:val="21"/>
          <w:highlight w:val="none"/>
        </w:rPr>
        <w:t>结算，但逾期交付时间不得超过30天，否则，</w:t>
      </w:r>
      <w:r>
        <w:rPr>
          <w:rFonts w:hint="eastAsia" w:ascii="宋体" w:hAnsi="宋体"/>
          <w:b w:val="0"/>
          <w:bCs w:val="0"/>
          <w:color w:val="auto"/>
          <w:szCs w:val="21"/>
          <w:highlight w:val="none"/>
          <w:lang w:val="en-US" w:eastAsia="zh-CN"/>
        </w:rPr>
        <w:t>发包人有权解除合同且不予退还履约担保，</w:t>
      </w:r>
      <w:r>
        <w:rPr>
          <w:rFonts w:hint="eastAsia" w:ascii="宋体" w:hAnsi="宋体"/>
          <w:b w:val="0"/>
          <w:bCs w:val="0"/>
          <w:color w:val="auto"/>
          <w:szCs w:val="21"/>
          <w:highlight w:val="none"/>
        </w:rPr>
        <w:t>承包人还应承担由此造成的工程损失。罚金由发包人从履约保证金或工程款中提取。</w:t>
      </w:r>
    </w:p>
    <w:p w14:paraId="37B43557">
      <w:pPr>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18.</w:t>
      </w:r>
      <w:r>
        <w:rPr>
          <w:rFonts w:hint="eastAsia" w:ascii="宋体" w:hAnsi="宋体"/>
          <w:b w:val="0"/>
          <w:bCs w:val="0"/>
          <w:color w:val="auto"/>
          <w:szCs w:val="21"/>
          <w:highlight w:val="none"/>
        </w:rPr>
        <w:t>3</w:t>
      </w:r>
      <w:r>
        <w:rPr>
          <w:rFonts w:ascii="宋体" w:hAnsi="宋体"/>
          <w:b w:val="0"/>
          <w:bCs w:val="0"/>
          <w:color w:val="auto"/>
          <w:szCs w:val="21"/>
          <w:highlight w:val="none"/>
        </w:rPr>
        <w:t xml:space="preserve"> </w:t>
      </w:r>
      <w:r>
        <w:rPr>
          <w:rFonts w:hint="eastAsia" w:ascii="宋体" w:hAnsi="宋体"/>
          <w:b w:val="0"/>
          <w:bCs w:val="0"/>
          <w:color w:val="auto"/>
          <w:szCs w:val="21"/>
          <w:highlight w:val="none"/>
        </w:rPr>
        <w:t>若仪器设备的技术性能未达到本合同技术条件的要求，发包人有权拒收，承包人必须另行无偿提供新的、经改进的设备，以期达到保证值的要求。</w:t>
      </w:r>
    </w:p>
    <w:p w14:paraId="777D57EF">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u w:val="none"/>
        </w:rPr>
      </w:pPr>
      <w:r>
        <w:rPr>
          <w:rFonts w:hint="eastAsia" w:ascii="宋体" w:hAnsi="宋体" w:eastAsia="宋体" w:cs="宋体"/>
          <w:b w:val="0"/>
          <w:bCs w:val="0"/>
          <w:color w:val="auto"/>
          <w:kern w:val="0"/>
          <w:sz w:val="21"/>
          <w:szCs w:val="21"/>
          <w:highlight w:val="none"/>
          <w:u w:val="none"/>
          <w:lang w:val="en-US" w:eastAsia="zh-CN"/>
        </w:rPr>
        <w:t xml:space="preserve">18.4 </w:t>
      </w:r>
      <w:r>
        <w:rPr>
          <w:rFonts w:hint="eastAsia" w:ascii="宋体" w:hAnsi="宋体" w:eastAsia="宋体" w:cs="宋体"/>
          <w:b w:val="0"/>
          <w:bCs w:val="0"/>
          <w:color w:val="auto"/>
          <w:kern w:val="0"/>
          <w:sz w:val="21"/>
          <w:szCs w:val="21"/>
          <w:highlight w:val="none"/>
          <w:u w:val="none"/>
        </w:rPr>
        <w:t>工程具备开工条件的（以监理下发开工令为准），承包人未按时进场施工，按2000元/天支付违约金；延迟进场达到7天及以上的，发包人有权解除合同且不予退还履约</w:t>
      </w:r>
      <w:r>
        <w:rPr>
          <w:rFonts w:hint="eastAsia" w:ascii="宋体" w:hAnsi="宋体" w:eastAsia="宋体" w:cs="宋体"/>
          <w:b w:val="0"/>
          <w:bCs w:val="0"/>
          <w:color w:val="auto"/>
          <w:kern w:val="0"/>
          <w:sz w:val="21"/>
          <w:szCs w:val="21"/>
          <w:highlight w:val="none"/>
          <w:u w:val="none"/>
          <w:lang w:eastAsia="zh-CN"/>
        </w:rPr>
        <w:t>担保</w:t>
      </w:r>
      <w:r>
        <w:rPr>
          <w:rFonts w:hint="eastAsia" w:ascii="宋体" w:hAnsi="宋体" w:eastAsia="宋体" w:cs="宋体"/>
          <w:b w:val="0"/>
          <w:bCs w:val="0"/>
          <w:color w:val="auto"/>
          <w:kern w:val="0"/>
          <w:sz w:val="21"/>
          <w:szCs w:val="21"/>
          <w:highlight w:val="none"/>
          <w:u w:val="none"/>
        </w:rPr>
        <w:t>。</w:t>
      </w:r>
    </w:p>
    <w:p w14:paraId="0AAB26DF">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20" w:firstLineChars="200"/>
        <w:jc w:val="left"/>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18.5 </w:t>
      </w:r>
      <w:r>
        <w:rPr>
          <w:rFonts w:hint="eastAsia" w:ascii="宋体" w:hAnsi="宋体" w:cs="宋体"/>
          <w:b w:val="0"/>
          <w:bCs w:val="0"/>
          <w:color w:val="auto"/>
          <w:szCs w:val="21"/>
          <w:highlight w:val="none"/>
        </w:rPr>
        <w:t>承包人需按照投标文件承诺的项目管理机构人员名单组建现场项目部，其中项目经理、技术负责人、安全员实行考勤制度，工程下达开工令后，采用钉钉软件进行打卡、签到管理，每人每月在项目现场时间不少于22天。若承包人拒不执行，视为相关管理人员未到项目现场，按合同相关约定处理。</w:t>
      </w:r>
    </w:p>
    <w:p w14:paraId="1041AA17">
      <w:pPr>
        <w:keepNext w:val="0"/>
        <w:keepLines w:val="0"/>
        <w:pageBreakBefore w:val="0"/>
        <w:widowControl w:val="0"/>
        <w:kinsoku/>
        <w:wordWrap/>
        <w:overflowPunct/>
        <w:topLinePunct w:val="0"/>
        <w:bidi w:val="0"/>
        <w:snapToGrid/>
        <w:spacing w:line="360" w:lineRule="auto"/>
        <w:ind w:right="0" w:firstLine="420" w:firstLineChars="200"/>
        <w:contextualSpacing/>
        <w:jc w:val="left"/>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18.6 </w:t>
      </w:r>
      <w:r>
        <w:rPr>
          <w:rFonts w:hint="eastAsia" w:ascii="宋体" w:hAnsi="宋体" w:cs="宋体"/>
          <w:b w:val="0"/>
          <w:bCs w:val="0"/>
          <w:color w:val="auto"/>
          <w:szCs w:val="21"/>
          <w:highlight w:val="none"/>
        </w:rPr>
        <w:t>承包人项目经理、技术负责人、安全员未向发包人或监理人履行离场手续，擅自离开施工现场的，分别按1000元/次、500元/次、300元/次支付违约金；累计达到3次及以上的，发包人及监理有权责令停工；累计达到5次及以上的，发包人有权解除合同。</w:t>
      </w:r>
    </w:p>
    <w:p w14:paraId="08B29F55">
      <w:pPr>
        <w:keepNext w:val="0"/>
        <w:keepLines w:val="0"/>
        <w:pageBreakBefore w:val="0"/>
        <w:widowControl w:val="0"/>
        <w:kinsoku/>
        <w:wordWrap/>
        <w:overflowPunct/>
        <w:topLinePunct w:val="0"/>
        <w:bidi w:val="0"/>
        <w:snapToGrid/>
        <w:spacing w:line="360" w:lineRule="auto"/>
        <w:ind w:right="0" w:firstLine="420" w:firstLineChars="200"/>
        <w:contextualSpacing/>
        <w:jc w:val="left"/>
        <w:textAlignment w:val="auto"/>
        <w:rPr>
          <w:rFonts w:hint="eastAsia" w:ascii="宋体" w:hAnsi="宋体" w:eastAsia="宋体" w:cs="宋体"/>
          <w:b w:val="0"/>
          <w:bCs w:val="0"/>
          <w:color w:val="auto"/>
          <w:kern w:val="0"/>
          <w:sz w:val="21"/>
          <w:szCs w:val="21"/>
          <w:highlight w:val="none"/>
          <w:u w:val="none"/>
        </w:rPr>
      </w:pPr>
      <w:r>
        <w:rPr>
          <w:rFonts w:hint="eastAsia" w:ascii="宋体" w:hAnsi="宋体" w:eastAsia="宋体" w:cs="宋体"/>
          <w:b w:val="0"/>
          <w:bCs w:val="0"/>
          <w:color w:val="auto"/>
          <w:kern w:val="0"/>
          <w:sz w:val="21"/>
          <w:szCs w:val="21"/>
          <w:highlight w:val="none"/>
          <w:u w:val="none"/>
          <w:lang w:val="en-US" w:eastAsia="zh-CN"/>
        </w:rPr>
        <w:t xml:space="preserve">18.7 </w:t>
      </w:r>
      <w:r>
        <w:rPr>
          <w:rFonts w:hint="eastAsia" w:ascii="宋体" w:hAnsi="宋体" w:eastAsia="宋体" w:cs="宋体"/>
          <w:b w:val="0"/>
          <w:bCs w:val="0"/>
          <w:color w:val="auto"/>
          <w:kern w:val="0"/>
          <w:sz w:val="21"/>
          <w:szCs w:val="21"/>
          <w:highlight w:val="none"/>
          <w:u w:val="none"/>
        </w:rPr>
        <w:t>承包人项目经理及相关技术人员必须按时参加发包人或监理人组织的工程会议；项目经理不能出席的，应由承包单位法人或分管领导参加。实在不能参加的，应报监理人及发包人同意。未经发包人同意擅自不参会的，按500--1000元/次支付违约金。</w:t>
      </w:r>
    </w:p>
    <w:p w14:paraId="438A19B1">
      <w:pPr>
        <w:pStyle w:val="14"/>
        <w:keepNext w:val="0"/>
        <w:keepLines w:val="0"/>
        <w:pageBreakBefore w:val="0"/>
        <w:kinsoku/>
        <w:wordWrap/>
        <w:overflowPunct/>
        <w:topLinePunct w:val="0"/>
        <w:bidi w:val="0"/>
        <w:spacing w:line="360" w:lineRule="auto"/>
        <w:ind w:right="0" w:firstLine="420" w:firstLineChars="200"/>
        <w:textAlignment w:val="auto"/>
        <w:rPr>
          <w:rFonts w:hint="eastAsia" w:ascii="宋体" w:hAnsi="宋体" w:cs="宋体"/>
          <w:b w:val="0"/>
          <w:bCs w:val="0"/>
          <w:color w:val="auto"/>
          <w:kern w:val="2"/>
          <w:sz w:val="21"/>
          <w:szCs w:val="21"/>
          <w:highlight w:val="none"/>
        </w:rPr>
      </w:pPr>
      <w:r>
        <w:rPr>
          <w:rFonts w:hint="eastAsia" w:ascii="宋体" w:hAnsi="宋体" w:cs="宋体"/>
          <w:b w:val="0"/>
          <w:bCs w:val="0"/>
          <w:snapToGrid w:val="0"/>
          <w:color w:val="auto"/>
          <w:sz w:val="21"/>
          <w:szCs w:val="21"/>
          <w:highlight w:val="none"/>
          <w:lang w:val="en-US" w:eastAsia="zh-CN"/>
        </w:rPr>
        <w:t xml:space="preserve">18.8 </w:t>
      </w:r>
      <w:r>
        <w:rPr>
          <w:rFonts w:hint="eastAsia" w:ascii="宋体" w:hAnsi="宋体" w:cs="宋体"/>
          <w:b w:val="0"/>
          <w:bCs w:val="0"/>
          <w:snapToGrid w:val="0"/>
          <w:color w:val="auto"/>
          <w:sz w:val="21"/>
          <w:szCs w:val="21"/>
          <w:highlight w:val="none"/>
        </w:rPr>
        <w:t>按时报送工程信息，包括但不限于日报、周报及监理人和发包人要求的其他信息报表。</w:t>
      </w:r>
      <w:r>
        <w:rPr>
          <w:rFonts w:hint="eastAsia" w:ascii="宋体" w:hAnsi="宋体" w:cs="宋体"/>
          <w:b w:val="0"/>
          <w:bCs w:val="0"/>
          <w:color w:val="auto"/>
          <w:kern w:val="2"/>
          <w:sz w:val="21"/>
          <w:szCs w:val="21"/>
          <w:highlight w:val="none"/>
        </w:rPr>
        <w:t>未及时报送信息资料的，每延误一次处罚金500-2000元；瞒报、谎报的，每发现一次处罚金2000元；出现明显信息报送错误，每发现一次处罚金200-1000元。</w:t>
      </w:r>
    </w:p>
    <w:p w14:paraId="08CD3837">
      <w:pPr>
        <w:keepNext w:val="0"/>
        <w:keepLines w:val="0"/>
        <w:pageBreakBefore w:val="0"/>
        <w:widowControl w:val="0"/>
        <w:kinsoku/>
        <w:wordWrap/>
        <w:overflowPunct/>
        <w:topLinePunct w:val="0"/>
        <w:bidi w:val="0"/>
        <w:snapToGrid/>
        <w:spacing w:line="360" w:lineRule="auto"/>
        <w:ind w:right="0" w:firstLine="420" w:firstLineChars="200"/>
        <w:contextualSpacing/>
        <w:jc w:val="left"/>
        <w:textAlignment w:val="auto"/>
        <w:rPr>
          <w:rFonts w:hint="eastAsia" w:ascii="宋体" w:hAnsi="宋体" w:eastAsia="宋体" w:cs="宋体"/>
          <w:b w:val="0"/>
          <w:bCs w:val="0"/>
          <w:color w:val="auto"/>
          <w:kern w:val="0"/>
          <w:sz w:val="21"/>
          <w:szCs w:val="21"/>
          <w:highlight w:val="none"/>
          <w:u w:val="none"/>
        </w:rPr>
      </w:pPr>
      <w:r>
        <w:rPr>
          <w:rFonts w:hint="eastAsia" w:ascii="宋体" w:hAnsi="宋体" w:eastAsia="宋体" w:cs="宋体"/>
          <w:b w:val="0"/>
          <w:bCs w:val="0"/>
          <w:color w:val="auto"/>
          <w:kern w:val="0"/>
          <w:sz w:val="21"/>
          <w:szCs w:val="21"/>
          <w:highlight w:val="none"/>
          <w:u w:val="none"/>
          <w:lang w:val="en-US" w:eastAsia="zh-CN"/>
        </w:rPr>
        <w:t xml:space="preserve">18.9 </w:t>
      </w:r>
      <w:r>
        <w:rPr>
          <w:rFonts w:hint="eastAsia" w:ascii="宋体" w:hAnsi="宋体" w:eastAsia="宋体" w:cs="宋体"/>
          <w:b w:val="0"/>
          <w:bCs w:val="0"/>
          <w:color w:val="auto"/>
          <w:kern w:val="0"/>
          <w:sz w:val="21"/>
          <w:szCs w:val="21"/>
          <w:highlight w:val="none"/>
          <w:u w:val="none"/>
        </w:rPr>
        <w:t>承包人未严格执行发包人下发的各项管理制度，发包人有权按相关管理办法进行考核。</w:t>
      </w:r>
    </w:p>
    <w:p w14:paraId="3C3E0C8A">
      <w:pPr>
        <w:keepNext w:val="0"/>
        <w:keepLines w:val="0"/>
        <w:pageBreakBefore w:val="0"/>
        <w:kinsoku/>
        <w:wordWrap/>
        <w:overflowPunct/>
        <w:topLinePunct w:val="0"/>
        <w:bidi w:val="0"/>
        <w:spacing w:line="360" w:lineRule="auto"/>
        <w:ind w:right="0" w:firstLine="420" w:firstLineChars="200"/>
        <w:textAlignment w:val="auto"/>
        <w:rPr>
          <w:rFonts w:hint="eastAsia" w:ascii="宋体" w:hAnsi="宋体" w:eastAsia="宋体" w:cs="宋体"/>
          <w:b w:val="0"/>
          <w:bCs w:val="0"/>
          <w:color w:val="auto"/>
          <w:kern w:val="0"/>
          <w:sz w:val="21"/>
          <w:szCs w:val="21"/>
          <w:highlight w:val="none"/>
          <w:u w:val="none"/>
        </w:rPr>
      </w:pPr>
      <w:r>
        <w:rPr>
          <w:rFonts w:hint="eastAsia" w:ascii="宋体" w:hAnsi="宋体" w:eastAsia="宋体" w:cs="宋体"/>
          <w:b w:val="0"/>
          <w:bCs w:val="0"/>
          <w:color w:val="auto"/>
          <w:kern w:val="0"/>
          <w:sz w:val="21"/>
          <w:szCs w:val="21"/>
          <w:highlight w:val="none"/>
          <w:u w:val="none"/>
          <w:lang w:val="en-US" w:eastAsia="zh-CN"/>
        </w:rPr>
        <w:t xml:space="preserve">18.10 </w:t>
      </w:r>
      <w:r>
        <w:rPr>
          <w:rFonts w:hint="eastAsia" w:ascii="宋体" w:hAnsi="宋体" w:eastAsia="宋体" w:cs="宋体"/>
          <w:b w:val="0"/>
          <w:bCs w:val="0"/>
          <w:color w:val="auto"/>
          <w:kern w:val="0"/>
          <w:sz w:val="21"/>
          <w:szCs w:val="21"/>
          <w:highlight w:val="none"/>
          <w:u w:val="none"/>
        </w:rPr>
        <w:t>承包人应保证结算造价的准确性，若发包人委托的中介机构审减额超过审定金额的10%，则处承包人超出10%部分审减额6%的考核金，自结算费用中扣除。</w:t>
      </w:r>
    </w:p>
    <w:p w14:paraId="01FD7CD6">
      <w:pPr>
        <w:keepNext w:val="0"/>
        <w:keepLines w:val="0"/>
        <w:pageBreakBefore w:val="0"/>
        <w:kinsoku/>
        <w:wordWrap/>
        <w:overflowPunct/>
        <w:topLinePunct w:val="0"/>
        <w:bidi w:val="0"/>
        <w:spacing w:line="360" w:lineRule="auto"/>
        <w:ind w:right="0" w:firstLine="420" w:firstLineChars="200"/>
        <w:textAlignment w:val="auto"/>
        <w:rPr>
          <w:rFonts w:hint="default" w:ascii="宋体" w:hAnsi="宋体" w:eastAsia="宋体" w:cs="宋体"/>
          <w:b/>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 xml:space="preserve">18.11 </w:t>
      </w:r>
      <w:r>
        <w:rPr>
          <w:rFonts w:hint="default" w:ascii="宋体" w:hAnsi="宋体" w:eastAsia="宋体" w:cs="宋体"/>
          <w:b w:val="0"/>
          <w:bCs w:val="0"/>
          <w:color w:val="auto"/>
          <w:kern w:val="0"/>
          <w:sz w:val="21"/>
          <w:szCs w:val="21"/>
          <w:highlight w:val="none"/>
          <w:u w:val="none"/>
        </w:rPr>
        <w:t>因承包人原因导致合同履行过程中出现质量、安全、进度等问题，除按合同约定考核外，发包人有权约谈承包单位法定代表人，拒绝约谈或经约谈后仍不按要求整改的，发包人有权解除合同和向行政主管部门举报，将承包人列入黑名单。</w:t>
      </w:r>
    </w:p>
    <w:p w14:paraId="6869CE2B">
      <w:pPr>
        <w:pStyle w:val="12"/>
        <w:spacing w:line="360" w:lineRule="auto"/>
        <w:ind w:firstLine="422"/>
        <w:rPr>
          <w:rFonts w:hint="eastAsia"/>
          <w:b w:val="0"/>
          <w:bCs w:val="0"/>
          <w:color w:val="auto"/>
          <w:highlight w:val="none"/>
        </w:rPr>
      </w:pPr>
      <w:r>
        <w:rPr>
          <w:rFonts w:hint="eastAsia"/>
          <w:b w:val="0"/>
          <w:bCs w:val="0"/>
          <w:color w:val="auto"/>
          <w:highlight w:val="none"/>
          <w:lang w:val="en-US" w:eastAsia="zh-CN"/>
        </w:rPr>
        <w:t xml:space="preserve">18.12 </w:t>
      </w:r>
      <w:r>
        <w:rPr>
          <w:rFonts w:hint="eastAsia"/>
          <w:b w:val="0"/>
          <w:bCs w:val="0"/>
          <w:color w:val="auto"/>
          <w:highlight w:val="none"/>
        </w:rPr>
        <w:t>索赔的提出。双方</w:t>
      </w:r>
      <w:r>
        <w:rPr>
          <w:b w:val="0"/>
          <w:bCs w:val="0"/>
          <w:color w:val="auto"/>
          <w:highlight w:val="none"/>
        </w:rPr>
        <w:t>有权根据本合同及其它有关规定向</w:t>
      </w:r>
      <w:r>
        <w:rPr>
          <w:rFonts w:hint="eastAsia"/>
          <w:b w:val="0"/>
          <w:bCs w:val="0"/>
          <w:color w:val="auto"/>
          <w:highlight w:val="none"/>
        </w:rPr>
        <w:t>对方提出索赔</w:t>
      </w:r>
      <w:r>
        <w:rPr>
          <w:b w:val="0"/>
          <w:bCs w:val="0"/>
          <w:color w:val="auto"/>
          <w:highlight w:val="none"/>
        </w:rPr>
        <w:t>。但应在索赔事件发生后</w:t>
      </w:r>
      <w:r>
        <w:rPr>
          <w:rFonts w:hint="eastAsia"/>
          <w:b w:val="0"/>
          <w:bCs w:val="0"/>
          <w:color w:val="auto"/>
          <w:highlight w:val="none"/>
        </w:rPr>
        <w:t>28</w:t>
      </w:r>
      <w:r>
        <w:rPr>
          <w:b w:val="0"/>
          <w:bCs w:val="0"/>
          <w:color w:val="auto"/>
          <w:highlight w:val="none"/>
        </w:rPr>
        <w:t>天内将索赔意向书提交监理</w:t>
      </w:r>
      <w:r>
        <w:rPr>
          <w:rFonts w:hint="eastAsia"/>
          <w:b w:val="0"/>
          <w:bCs w:val="0"/>
          <w:color w:val="auto"/>
          <w:highlight w:val="none"/>
        </w:rPr>
        <w:t>人</w:t>
      </w:r>
      <w:r>
        <w:rPr>
          <w:b w:val="0"/>
          <w:bCs w:val="0"/>
          <w:color w:val="auto"/>
          <w:highlight w:val="none"/>
        </w:rPr>
        <w:t>，并抄送</w:t>
      </w:r>
      <w:r>
        <w:rPr>
          <w:rFonts w:hint="eastAsia"/>
          <w:b w:val="0"/>
          <w:bCs w:val="0"/>
          <w:color w:val="auto"/>
          <w:highlight w:val="none"/>
        </w:rPr>
        <w:t>违约</w:t>
      </w:r>
      <w:r>
        <w:rPr>
          <w:b w:val="0"/>
          <w:bCs w:val="0"/>
          <w:color w:val="auto"/>
          <w:highlight w:val="none"/>
        </w:rPr>
        <w:t>方。在上述意向书发出后的</w:t>
      </w:r>
      <w:r>
        <w:rPr>
          <w:rFonts w:hint="eastAsia"/>
          <w:b w:val="0"/>
          <w:bCs w:val="0"/>
          <w:color w:val="auto"/>
          <w:highlight w:val="none"/>
        </w:rPr>
        <w:t>28</w:t>
      </w:r>
      <w:r>
        <w:rPr>
          <w:b w:val="0"/>
          <w:bCs w:val="0"/>
          <w:color w:val="auto"/>
          <w:highlight w:val="none"/>
        </w:rPr>
        <w:t>天内，再向监理单位提交索赔申请报告，详细说明索赔理由和索赔费用的计算依据，并应附必要的当时记录和证明材料。如果索赔事件继续产生影响，</w:t>
      </w:r>
      <w:r>
        <w:rPr>
          <w:rFonts w:hint="eastAsia"/>
          <w:b w:val="0"/>
          <w:bCs w:val="0"/>
          <w:color w:val="auto"/>
          <w:highlight w:val="none"/>
        </w:rPr>
        <w:t>履约</w:t>
      </w:r>
      <w:r>
        <w:rPr>
          <w:b w:val="0"/>
          <w:bCs w:val="0"/>
          <w:color w:val="auto"/>
          <w:highlight w:val="none"/>
        </w:rPr>
        <w:t>方应按监理单位要求的合理时间间隔列出索赔累计金额和提出中期索赔申请报告，并在索赔事件影响结束后的</w:t>
      </w:r>
      <w:r>
        <w:rPr>
          <w:rFonts w:hint="eastAsia"/>
          <w:b w:val="0"/>
          <w:bCs w:val="0"/>
          <w:color w:val="auto"/>
          <w:highlight w:val="none"/>
        </w:rPr>
        <w:t>28</w:t>
      </w:r>
      <w:r>
        <w:rPr>
          <w:b w:val="0"/>
          <w:bCs w:val="0"/>
          <w:color w:val="auto"/>
          <w:highlight w:val="none"/>
        </w:rPr>
        <w:t>天内向监理单位提交包括最终索赔金额、延续记录、证明材料在内的最终索赔申请报告，并抄送</w:t>
      </w:r>
      <w:r>
        <w:rPr>
          <w:rFonts w:hint="eastAsia"/>
          <w:b w:val="0"/>
          <w:bCs w:val="0"/>
          <w:color w:val="auto"/>
          <w:highlight w:val="none"/>
        </w:rPr>
        <w:t>违约</w:t>
      </w:r>
      <w:r>
        <w:rPr>
          <w:b w:val="0"/>
          <w:bCs w:val="0"/>
          <w:color w:val="auto"/>
          <w:highlight w:val="none"/>
        </w:rPr>
        <w:t>方。</w:t>
      </w:r>
      <w:r>
        <w:rPr>
          <w:rFonts w:hint="eastAsia"/>
          <w:b w:val="0"/>
          <w:bCs w:val="0"/>
          <w:color w:val="auto"/>
          <w:highlight w:val="none"/>
        </w:rPr>
        <w:t>否则，违约方可不受理。</w:t>
      </w:r>
    </w:p>
    <w:p w14:paraId="7DEA907E">
      <w:pPr>
        <w:pStyle w:val="12"/>
        <w:spacing w:line="360" w:lineRule="auto"/>
        <w:rPr>
          <w:rFonts w:hint="eastAsia"/>
          <w:b w:val="0"/>
          <w:bCs w:val="0"/>
          <w:color w:val="auto"/>
          <w:highlight w:val="none"/>
        </w:rPr>
      </w:pPr>
      <w:r>
        <w:rPr>
          <w:rFonts w:hint="eastAsia"/>
          <w:b w:val="0"/>
          <w:bCs w:val="0"/>
          <w:color w:val="auto"/>
          <w:highlight w:val="none"/>
          <w:lang w:val="en-US" w:eastAsia="zh-CN"/>
        </w:rPr>
        <w:t xml:space="preserve">18.13 </w:t>
      </w:r>
      <w:r>
        <w:rPr>
          <w:b w:val="0"/>
          <w:bCs w:val="0"/>
          <w:color w:val="auto"/>
          <w:highlight w:val="none"/>
        </w:rPr>
        <w:t>索赔的处理</w:t>
      </w:r>
    </w:p>
    <w:p w14:paraId="1AF28D43">
      <w:pPr>
        <w:pStyle w:val="12"/>
        <w:spacing w:line="360" w:lineRule="auto"/>
        <w:rPr>
          <w:rFonts w:hint="eastAsia"/>
          <w:color w:val="auto"/>
          <w:highlight w:val="none"/>
        </w:rPr>
      </w:pPr>
      <w:r>
        <w:rPr>
          <w:rFonts w:hint="eastAsia"/>
          <w:color w:val="auto"/>
          <w:highlight w:val="none"/>
        </w:rPr>
        <w:t>（1）</w:t>
      </w:r>
      <w:r>
        <w:rPr>
          <w:color w:val="auto"/>
          <w:highlight w:val="none"/>
        </w:rPr>
        <w:t>监理</w:t>
      </w:r>
      <w:r>
        <w:rPr>
          <w:rFonts w:hint="eastAsia"/>
          <w:color w:val="auto"/>
          <w:highlight w:val="none"/>
        </w:rPr>
        <w:t>人</w:t>
      </w:r>
      <w:r>
        <w:rPr>
          <w:color w:val="auto"/>
          <w:highlight w:val="none"/>
        </w:rPr>
        <w:t>收到</w:t>
      </w:r>
      <w:r>
        <w:rPr>
          <w:rFonts w:hint="eastAsia"/>
          <w:color w:val="auto"/>
          <w:highlight w:val="none"/>
        </w:rPr>
        <w:t>履约</w:t>
      </w:r>
      <w:r>
        <w:rPr>
          <w:color w:val="auto"/>
          <w:highlight w:val="none"/>
        </w:rPr>
        <w:t>方提交的索赔意向书，应核查</w:t>
      </w:r>
      <w:r>
        <w:rPr>
          <w:rFonts w:hint="eastAsia"/>
          <w:color w:val="auto"/>
          <w:highlight w:val="none"/>
        </w:rPr>
        <w:t>履约</w:t>
      </w:r>
      <w:r>
        <w:rPr>
          <w:color w:val="auto"/>
          <w:highlight w:val="none"/>
        </w:rPr>
        <w:t>方的当时记录，并可指示</w:t>
      </w:r>
      <w:r>
        <w:rPr>
          <w:rFonts w:hint="eastAsia"/>
          <w:color w:val="auto"/>
          <w:highlight w:val="none"/>
        </w:rPr>
        <w:t>履约</w:t>
      </w:r>
      <w:r>
        <w:rPr>
          <w:color w:val="auto"/>
          <w:highlight w:val="none"/>
        </w:rPr>
        <w:t>方继续作好延续记录以备核查，监理单位可要求</w:t>
      </w:r>
      <w:r>
        <w:rPr>
          <w:rFonts w:hint="eastAsia"/>
          <w:color w:val="auto"/>
          <w:highlight w:val="none"/>
        </w:rPr>
        <w:t>履约</w:t>
      </w:r>
      <w:r>
        <w:rPr>
          <w:color w:val="auto"/>
          <w:highlight w:val="none"/>
        </w:rPr>
        <w:t>方提交全部记录的副本。</w:t>
      </w:r>
    </w:p>
    <w:p w14:paraId="434E693A">
      <w:pPr>
        <w:pStyle w:val="12"/>
        <w:spacing w:line="360" w:lineRule="auto"/>
        <w:rPr>
          <w:rFonts w:hint="eastAsia"/>
          <w:color w:val="auto"/>
          <w:highlight w:val="none"/>
        </w:rPr>
      </w:pPr>
      <w:r>
        <w:rPr>
          <w:rFonts w:hint="eastAsia"/>
          <w:color w:val="auto"/>
          <w:highlight w:val="none"/>
        </w:rPr>
        <w:t>（2）</w:t>
      </w:r>
      <w:r>
        <w:rPr>
          <w:color w:val="auto"/>
          <w:highlight w:val="none"/>
        </w:rPr>
        <w:t>监理</w:t>
      </w:r>
      <w:r>
        <w:rPr>
          <w:rFonts w:hint="eastAsia"/>
          <w:color w:val="auto"/>
          <w:highlight w:val="none"/>
        </w:rPr>
        <w:t>人</w:t>
      </w:r>
      <w:r>
        <w:rPr>
          <w:color w:val="auto"/>
          <w:highlight w:val="none"/>
        </w:rPr>
        <w:t>收到</w:t>
      </w:r>
      <w:r>
        <w:rPr>
          <w:rFonts w:hint="eastAsia"/>
          <w:color w:val="auto"/>
          <w:highlight w:val="none"/>
        </w:rPr>
        <w:t>履约</w:t>
      </w:r>
      <w:r>
        <w:rPr>
          <w:color w:val="auto"/>
          <w:highlight w:val="none"/>
        </w:rPr>
        <w:t>方提交的索赔申请报告和最终索赔申请报告后，应立即依据当时记录进行审核，并在</w:t>
      </w:r>
      <w:r>
        <w:rPr>
          <w:rFonts w:hint="eastAsia"/>
          <w:color w:val="auto"/>
          <w:highlight w:val="none"/>
        </w:rPr>
        <w:t>履约</w:t>
      </w:r>
      <w:r>
        <w:rPr>
          <w:color w:val="auto"/>
          <w:highlight w:val="none"/>
        </w:rPr>
        <w:t>方提交上述报告后的</w:t>
      </w:r>
      <w:r>
        <w:rPr>
          <w:rFonts w:hint="eastAsia"/>
          <w:color w:val="auto"/>
          <w:highlight w:val="none"/>
        </w:rPr>
        <w:t>42</w:t>
      </w:r>
      <w:r>
        <w:rPr>
          <w:color w:val="auto"/>
          <w:highlight w:val="none"/>
        </w:rPr>
        <w:t>天内与</w:t>
      </w:r>
      <w:r>
        <w:rPr>
          <w:rFonts w:hint="eastAsia"/>
          <w:color w:val="auto"/>
          <w:highlight w:val="none"/>
        </w:rPr>
        <w:t>双</w:t>
      </w:r>
      <w:r>
        <w:rPr>
          <w:color w:val="auto"/>
          <w:highlight w:val="none"/>
        </w:rPr>
        <w:t>方充分协商后作出决定，在上述时限内将索赔处理决定通知</w:t>
      </w:r>
      <w:r>
        <w:rPr>
          <w:rFonts w:hint="eastAsia"/>
          <w:color w:val="auto"/>
          <w:highlight w:val="none"/>
        </w:rPr>
        <w:t>履约</w:t>
      </w:r>
      <w:r>
        <w:rPr>
          <w:color w:val="auto"/>
          <w:highlight w:val="none"/>
        </w:rPr>
        <w:t>方，并抄送</w:t>
      </w:r>
      <w:r>
        <w:rPr>
          <w:rFonts w:hint="eastAsia"/>
          <w:color w:val="auto"/>
          <w:highlight w:val="none"/>
        </w:rPr>
        <w:t>违约</w:t>
      </w:r>
      <w:r>
        <w:rPr>
          <w:color w:val="auto"/>
          <w:highlight w:val="none"/>
        </w:rPr>
        <w:t>方。</w:t>
      </w:r>
    </w:p>
    <w:p w14:paraId="587BEA02">
      <w:pPr>
        <w:pStyle w:val="12"/>
        <w:spacing w:line="360" w:lineRule="auto"/>
        <w:rPr>
          <w:rFonts w:hint="eastAsia"/>
          <w:color w:val="auto"/>
          <w:highlight w:val="none"/>
        </w:rPr>
      </w:pPr>
      <w:r>
        <w:rPr>
          <w:rFonts w:hint="eastAsia"/>
          <w:color w:val="auto"/>
          <w:highlight w:val="none"/>
        </w:rPr>
        <w:t>（3）双</w:t>
      </w:r>
      <w:r>
        <w:rPr>
          <w:color w:val="auto"/>
          <w:highlight w:val="none"/>
        </w:rPr>
        <w:t>方应在收到监理</w:t>
      </w:r>
      <w:r>
        <w:rPr>
          <w:rFonts w:hint="eastAsia"/>
          <w:color w:val="auto"/>
          <w:highlight w:val="none"/>
        </w:rPr>
        <w:t>人</w:t>
      </w:r>
      <w:r>
        <w:rPr>
          <w:color w:val="auto"/>
          <w:highlight w:val="none"/>
        </w:rPr>
        <w:t>的索赔处理决定后</w:t>
      </w:r>
      <w:r>
        <w:rPr>
          <w:rFonts w:hint="eastAsia"/>
          <w:color w:val="auto"/>
          <w:highlight w:val="none"/>
        </w:rPr>
        <w:t>14</w:t>
      </w:r>
      <w:r>
        <w:rPr>
          <w:color w:val="auto"/>
          <w:highlight w:val="none"/>
        </w:rPr>
        <w:t>天内，将其是否同意索赔处理决定的意见通知监理</w:t>
      </w:r>
      <w:r>
        <w:rPr>
          <w:rFonts w:hint="eastAsia"/>
          <w:color w:val="auto"/>
          <w:highlight w:val="none"/>
        </w:rPr>
        <w:t>人</w:t>
      </w:r>
      <w:r>
        <w:rPr>
          <w:color w:val="auto"/>
          <w:highlight w:val="none"/>
        </w:rPr>
        <w:t>。若双方均接受监理单位的决定，则监理单位应在收到上述通知后的１４天内将确定的索赔金额列入付款证书中支付；若双方或其中一方不接受监理单位的决定，</w:t>
      </w:r>
      <w:r>
        <w:rPr>
          <w:rFonts w:hint="eastAsia"/>
          <w:color w:val="auto"/>
          <w:highlight w:val="none"/>
        </w:rPr>
        <w:t>双方可共同协商成立争议调解组，任何一方</w:t>
      </w:r>
      <w:r>
        <w:rPr>
          <w:color w:val="auto"/>
          <w:highlight w:val="none"/>
        </w:rPr>
        <w:t>可提请争议</w:t>
      </w:r>
      <w:r>
        <w:rPr>
          <w:rFonts w:hint="eastAsia"/>
          <w:color w:val="auto"/>
          <w:highlight w:val="none"/>
        </w:rPr>
        <w:t>调解</w:t>
      </w:r>
      <w:r>
        <w:rPr>
          <w:color w:val="auto"/>
          <w:highlight w:val="none"/>
        </w:rPr>
        <w:t>组评审。</w:t>
      </w:r>
    </w:p>
    <w:p w14:paraId="33BCC62B">
      <w:pPr>
        <w:pStyle w:val="12"/>
        <w:spacing w:line="360" w:lineRule="auto"/>
        <w:rPr>
          <w:rFonts w:hint="eastAsia"/>
          <w:color w:val="auto"/>
          <w:highlight w:val="none"/>
        </w:rPr>
      </w:pPr>
      <w:r>
        <w:rPr>
          <w:rFonts w:hint="eastAsia"/>
          <w:color w:val="auto"/>
          <w:highlight w:val="none"/>
        </w:rPr>
        <w:t>（4）</w:t>
      </w:r>
      <w:r>
        <w:rPr>
          <w:color w:val="auto"/>
          <w:highlight w:val="none"/>
        </w:rPr>
        <w:t>若</w:t>
      </w:r>
      <w:r>
        <w:rPr>
          <w:rFonts w:hint="eastAsia"/>
          <w:color w:val="auto"/>
          <w:highlight w:val="none"/>
        </w:rPr>
        <w:t>履约方</w:t>
      </w:r>
      <w:r>
        <w:rPr>
          <w:color w:val="auto"/>
          <w:highlight w:val="none"/>
        </w:rPr>
        <w:t>未遵守各项索赔规定，则应得到的付款不能超过监理</w:t>
      </w:r>
      <w:r>
        <w:rPr>
          <w:rFonts w:hint="eastAsia"/>
          <w:color w:val="auto"/>
          <w:highlight w:val="none"/>
        </w:rPr>
        <w:t>人</w:t>
      </w:r>
      <w:r>
        <w:rPr>
          <w:color w:val="auto"/>
          <w:highlight w:val="none"/>
        </w:rPr>
        <w:t>依据当时记录核实后决定的或争议</w:t>
      </w:r>
      <w:r>
        <w:rPr>
          <w:rFonts w:hint="eastAsia"/>
          <w:color w:val="auto"/>
          <w:highlight w:val="none"/>
        </w:rPr>
        <w:t>调解</w:t>
      </w:r>
      <w:r>
        <w:rPr>
          <w:color w:val="auto"/>
          <w:highlight w:val="none"/>
        </w:rPr>
        <w:t>组提出的或仲裁机构裁定的金额。</w:t>
      </w:r>
    </w:p>
    <w:p w14:paraId="343B9143">
      <w:pPr>
        <w:spacing w:line="360" w:lineRule="auto"/>
        <w:ind w:firstLine="420" w:firstLineChars="200"/>
        <w:rPr>
          <w:rFonts w:hint="eastAsia" w:ascii="宋体" w:hAnsi="宋体"/>
          <w:color w:val="auto"/>
          <w:szCs w:val="21"/>
          <w:highlight w:val="none"/>
        </w:rPr>
      </w:pPr>
      <w:r>
        <w:rPr>
          <w:rFonts w:hint="eastAsia" w:ascii="宋体" w:hAnsi="宋体"/>
          <w:bCs/>
          <w:snapToGrid w:val="0"/>
          <w:color w:val="auto"/>
          <w:szCs w:val="21"/>
          <w:highlight w:val="none"/>
        </w:rPr>
        <w:t>（5）索</w:t>
      </w:r>
      <w:r>
        <w:rPr>
          <w:rFonts w:hint="eastAsia" w:ascii="宋体" w:hAnsi="宋体"/>
          <w:color w:val="auto"/>
          <w:szCs w:val="21"/>
          <w:highlight w:val="none"/>
        </w:rPr>
        <w:t>赔的期限。</w:t>
      </w:r>
      <w:r>
        <w:rPr>
          <w:rFonts w:ascii="宋体" w:hAnsi="宋体"/>
          <w:color w:val="auto"/>
          <w:szCs w:val="21"/>
          <w:highlight w:val="none"/>
        </w:rPr>
        <w:t>承包</w:t>
      </w:r>
      <w:r>
        <w:rPr>
          <w:rFonts w:hint="eastAsia" w:ascii="宋体" w:hAnsi="宋体"/>
          <w:color w:val="auto"/>
          <w:szCs w:val="21"/>
          <w:highlight w:val="none"/>
        </w:rPr>
        <w:t>人</w:t>
      </w:r>
      <w:r>
        <w:rPr>
          <w:rFonts w:ascii="宋体" w:hAnsi="宋体"/>
          <w:color w:val="auto"/>
          <w:szCs w:val="21"/>
          <w:highlight w:val="none"/>
        </w:rPr>
        <w:t>提交了完工付款申请单后，应认为已无权再提出在本合同工程移交证书颁发前所发生的任何索赔。承包</w:t>
      </w:r>
      <w:r>
        <w:rPr>
          <w:rFonts w:hint="eastAsia" w:ascii="宋体" w:hAnsi="宋体"/>
          <w:color w:val="auto"/>
          <w:szCs w:val="21"/>
          <w:highlight w:val="none"/>
        </w:rPr>
        <w:t>人</w:t>
      </w:r>
      <w:r>
        <w:rPr>
          <w:rFonts w:ascii="宋体" w:hAnsi="宋体"/>
          <w:color w:val="auto"/>
          <w:szCs w:val="21"/>
          <w:highlight w:val="none"/>
        </w:rPr>
        <w:t>提交的最终付款申请单中，只限于提出本合同工程移交证书颁发后发生的新的索赔。</w:t>
      </w:r>
    </w:p>
    <w:p w14:paraId="0FDE111E">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351" w:name="_Toc227572802"/>
      <w:bookmarkStart w:id="352" w:name="_Toc438482798"/>
      <w:bookmarkStart w:id="353" w:name="_Toc208853170"/>
      <w:bookmarkStart w:id="354" w:name="_Toc358017201"/>
      <w:bookmarkStart w:id="355" w:name="_Toc228082565"/>
      <w:bookmarkStart w:id="356" w:name="_Toc298326689"/>
      <w:bookmarkStart w:id="357" w:name="_Toc208891989"/>
      <w:bookmarkStart w:id="358" w:name="_Toc228074042"/>
      <w:bookmarkStart w:id="359" w:name="_Toc438471707"/>
      <w:bookmarkStart w:id="360" w:name="_Toc229824535"/>
      <w:bookmarkStart w:id="361" w:name="_Toc208898070"/>
      <w:r>
        <w:rPr>
          <w:rFonts w:hint="eastAsia" w:ascii="宋体" w:hAnsi="宋体" w:eastAsia="宋体"/>
          <w:b/>
          <w:bCs/>
          <w:color w:val="auto"/>
          <w:sz w:val="21"/>
          <w:szCs w:val="21"/>
          <w:highlight w:val="none"/>
          <w:lang w:val="en-US" w:eastAsia="zh-CN"/>
        </w:rPr>
        <w:t>19.</w:t>
      </w:r>
      <w:r>
        <w:rPr>
          <w:rFonts w:hint="eastAsia" w:ascii="宋体" w:hAnsi="宋体" w:eastAsia="宋体"/>
          <w:b/>
          <w:bCs/>
          <w:color w:val="auto"/>
          <w:sz w:val="21"/>
          <w:szCs w:val="21"/>
          <w:highlight w:val="none"/>
        </w:rPr>
        <w:t xml:space="preserve"> 合同变更</w:t>
      </w:r>
      <w:bookmarkEnd w:id="351"/>
      <w:bookmarkEnd w:id="352"/>
      <w:bookmarkEnd w:id="353"/>
      <w:bookmarkEnd w:id="354"/>
      <w:bookmarkEnd w:id="355"/>
      <w:bookmarkEnd w:id="356"/>
      <w:bookmarkEnd w:id="357"/>
      <w:bookmarkEnd w:id="358"/>
      <w:bookmarkEnd w:id="359"/>
      <w:bookmarkEnd w:id="360"/>
      <w:bookmarkEnd w:id="361"/>
    </w:p>
    <w:p w14:paraId="1050BC4B">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19</w:t>
      </w:r>
      <w:r>
        <w:rPr>
          <w:rFonts w:hint="eastAsia" w:ascii="宋体" w:hAnsi="宋体"/>
          <w:b w:val="0"/>
          <w:bCs/>
          <w:color w:val="auto"/>
          <w:szCs w:val="21"/>
          <w:highlight w:val="none"/>
        </w:rPr>
        <w:t xml:space="preserve">.1 </w:t>
      </w:r>
      <w:r>
        <w:rPr>
          <w:rFonts w:ascii="宋体" w:hAnsi="宋体"/>
          <w:b w:val="0"/>
          <w:bCs/>
          <w:color w:val="auto"/>
          <w:szCs w:val="21"/>
          <w:highlight w:val="none"/>
        </w:rPr>
        <w:t>没有监理人的指示，承包人不得擅自变更。在履行合同过程中，监理人可根据工程的需要指示承包人进行变更</w:t>
      </w:r>
      <w:r>
        <w:rPr>
          <w:rFonts w:hint="eastAsia" w:ascii="宋体" w:hAnsi="宋体"/>
          <w:b w:val="0"/>
          <w:bCs/>
          <w:color w:val="auto"/>
          <w:szCs w:val="21"/>
          <w:highlight w:val="none"/>
        </w:rPr>
        <w:t>。</w:t>
      </w:r>
    </w:p>
    <w:p w14:paraId="5A4BCFB8">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19</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2</w:t>
      </w:r>
      <w:r>
        <w:rPr>
          <w:rFonts w:hint="eastAsia" w:ascii="宋体" w:hAnsi="宋体"/>
          <w:b w:val="0"/>
          <w:bCs/>
          <w:color w:val="auto"/>
          <w:szCs w:val="21"/>
          <w:highlight w:val="none"/>
        </w:rPr>
        <w:t>由于发包人原因引起的变更，发包人应承担工期延误责任；由于承包人违约或其它由于承包人原因引起的变更，工期延误责任由承包人承担。</w:t>
      </w:r>
    </w:p>
    <w:p w14:paraId="4AD517E0">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19</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 xml:space="preserve"> 当合同规定的工作项目、内容、工程量、标准和性质、追加为完成工程所需的任何额外工作或其他情况发生变更时，按照合同清单据实结算，清单中未包括的项目，</w:t>
      </w:r>
      <w:r>
        <w:rPr>
          <w:rFonts w:hint="eastAsia" w:ascii="宋体" w:hAnsi="宋体"/>
          <w:b w:val="0"/>
          <w:bCs/>
          <w:color w:val="auto"/>
          <w:szCs w:val="21"/>
          <w:highlight w:val="none"/>
          <w:lang w:val="en-US" w:eastAsia="zh-CN"/>
        </w:rPr>
        <w:t>可另行约定</w:t>
      </w:r>
      <w:r>
        <w:rPr>
          <w:rFonts w:hint="eastAsia" w:ascii="宋体" w:hAnsi="宋体"/>
          <w:b w:val="0"/>
          <w:bCs/>
          <w:color w:val="auto"/>
          <w:szCs w:val="21"/>
          <w:highlight w:val="none"/>
        </w:rPr>
        <w:t>。</w:t>
      </w:r>
    </w:p>
    <w:p w14:paraId="3C0D3FD6">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362" w:name="_Toc438471708"/>
      <w:bookmarkStart w:id="363" w:name="_Toc298326690"/>
      <w:bookmarkStart w:id="364" w:name="_Toc208898071"/>
      <w:bookmarkStart w:id="365" w:name="_Toc438482799"/>
      <w:bookmarkStart w:id="366" w:name="_Toc229824536"/>
      <w:bookmarkStart w:id="367" w:name="_Toc227572803"/>
      <w:bookmarkStart w:id="368" w:name="_Toc228082566"/>
      <w:bookmarkStart w:id="369" w:name="_Toc228074043"/>
      <w:bookmarkStart w:id="370" w:name="_Toc208891990"/>
      <w:bookmarkStart w:id="371" w:name="_Toc208853171"/>
      <w:bookmarkStart w:id="372" w:name="_Toc358017202"/>
      <w:r>
        <w:rPr>
          <w:rFonts w:hint="eastAsia" w:ascii="宋体" w:hAnsi="宋体" w:eastAsia="宋体"/>
          <w:b/>
          <w:bCs/>
          <w:color w:val="auto"/>
          <w:sz w:val="21"/>
          <w:szCs w:val="21"/>
          <w:highlight w:val="none"/>
          <w:lang w:val="en-US" w:eastAsia="zh-CN"/>
        </w:rPr>
        <w:t>20.</w:t>
      </w:r>
      <w:r>
        <w:rPr>
          <w:rFonts w:hint="eastAsia" w:ascii="宋体" w:hAnsi="宋体" w:eastAsia="宋体"/>
          <w:b/>
          <w:bCs/>
          <w:color w:val="auto"/>
          <w:sz w:val="21"/>
          <w:szCs w:val="21"/>
          <w:highlight w:val="none"/>
        </w:rPr>
        <w:t xml:space="preserve"> 安全生产</w:t>
      </w:r>
      <w:bookmarkEnd w:id="362"/>
      <w:bookmarkEnd w:id="363"/>
      <w:bookmarkEnd w:id="364"/>
      <w:bookmarkEnd w:id="365"/>
      <w:bookmarkEnd w:id="366"/>
      <w:bookmarkEnd w:id="367"/>
      <w:bookmarkEnd w:id="368"/>
      <w:bookmarkEnd w:id="369"/>
      <w:bookmarkEnd w:id="370"/>
      <w:bookmarkEnd w:id="371"/>
      <w:bookmarkEnd w:id="372"/>
    </w:p>
    <w:p w14:paraId="2D30CE7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承包人应教育职工安全生产,并加强安全管理。凡由于管理不善、职工的过失或由于第三者的原因造成人身、设备、产品质量以及其它人为事故，其全部责任由承包人负责。</w:t>
      </w:r>
    </w:p>
    <w:p w14:paraId="3DFF1397">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373" w:name="_Toc208853172"/>
      <w:bookmarkStart w:id="374" w:name="_Toc438482800"/>
      <w:bookmarkStart w:id="375" w:name="_Toc208898072"/>
      <w:bookmarkStart w:id="376" w:name="_Toc208891991"/>
      <w:bookmarkStart w:id="377" w:name="_Toc227572804"/>
      <w:bookmarkStart w:id="378" w:name="_Toc438471709"/>
      <w:bookmarkStart w:id="379" w:name="_Toc229824537"/>
      <w:bookmarkStart w:id="380" w:name="_Toc298326691"/>
      <w:bookmarkStart w:id="381" w:name="_Toc228074044"/>
      <w:bookmarkStart w:id="382" w:name="_Toc358017203"/>
      <w:bookmarkStart w:id="383" w:name="_Toc228082567"/>
      <w:r>
        <w:rPr>
          <w:rFonts w:hint="eastAsia" w:ascii="宋体" w:hAnsi="宋体" w:eastAsia="宋体"/>
          <w:b/>
          <w:bCs/>
          <w:color w:val="auto"/>
          <w:sz w:val="21"/>
          <w:szCs w:val="21"/>
          <w:highlight w:val="none"/>
          <w:lang w:val="en-US" w:eastAsia="zh-CN"/>
        </w:rPr>
        <w:t>21.</w:t>
      </w:r>
      <w:r>
        <w:rPr>
          <w:rFonts w:hint="eastAsia" w:ascii="宋体" w:hAnsi="宋体" w:eastAsia="宋体"/>
          <w:b/>
          <w:bCs/>
          <w:color w:val="auto"/>
          <w:sz w:val="21"/>
          <w:szCs w:val="21"/>
          <w:highlight w:val="none"/>
        </w:rPr>
        <w:t xml:space="preserve"> 不可抗力</w:t>
      </w:r>
      <w:bookmarkEnd w:id="373"/>
      <w:bookmarkEnd w:id="374"/>
      <w:bookmarkEnd w:id="375"/>
      <w:bookmarkEnd w:id="376"/>
      <w:bookmarkEnd w:id="377"/>
      <w:bookmarkEnd w:id="378"/>
      <w:bookmarkEnd w:id="379"/>
      <w:bookmarkEnd w:id="380"/>
      <w:bookmarkEnd w:id="381"/>
      <w:bookmarkEnd w:id="382"/>
      <w:bookmarkEnd w:id="383"/>
    </w:p>
    <w:p w14:paraId="7CEB50D7">
      <w:pPr>
        <w:spacing w:line="360" w:lineRule="auto"/>
        <w:ind w:firstLine="420" w:firstLineChars="200"/>
        <w:rPr>
          <w:rFonts w:hint="eastAsia" w:ascii="宋体" w:hAnsi="宋体"/>
          <w:color w:val="auto"/>
          <w:szCs w:val="21"/>
          <w:highlight w:val="none"/>
        </w:rPr>
      </w:pPr>
      <w:r>
        <w:rPr>
          <w:rFonts w:hint="eastAsia" w:ascii="宋体" w:hAnsi="宋体"/>
          <w:b w:val="0"/>
          <w:bCs w:val="0"/>
          <w:color w:val="auto"/>
          <w:szCs w:val="21"/>
          <w:highlight w:val="none"/>
          <w:lang w:val="en-US" w:eastAsia="zh-CN"/>
        </w:rPr>
        <w:t>21</w:t>
      </w:r>
      <w:r>
        <w:rPr>
          <w:rFonts w:hint="eastAsia" w:ascii="宋体" w:hAnsi="宋体"/>
          <w:b w:val="0"/>
          <w:bCs w:val="0"/>
          <w:color w:val="auto"/>
          <w:szCs w:val="21"/>
          <w:highlight w:val="none"/>
        </w:rPr>
        <w:t>.1 由于洪水</w:t>
      </w:r>
      <w:r>
        <w:rPr>
          <w:rFonts w:hint="eastAsia" w:ascii="宋体" w:hAnsi="宋体"/>
          <w:color w:val="auto"/>
          <w:szCs w:val="21"/>
          <w:highlight w:val="none"/>
        </w:rPr>
        <w:t>、台风、地震及其它不可抗拒的灾害，致使无法履行本合同，或不能如期履行本合同时，应尽快通知对方，并就灾后处理事宜的协商做出安排。</w:t>
      </w:r>
    </w:p>
    <w:p w14:paraId="1594F1D9">
      <w:pPr>
        <w:spacing w:line="360" w:lineRule="auto"/>
        <w:ind w:firstLine="420" w:firstLineChars="200"/>
        <w:rPr>
          <w:rFonts w:hint="eastAsia" w:ascii="宋体" w:hAnsi="宋体"/>
          <w:color w:val="auto"/>
          <w:szCs w:val="21"/>
          <w:highlight w:val="none"/>
        </w:rPr>
      </w:pPr>
      <w:r>
        <w:rPr>
          <w:rFonts w:hint="eastAsia" w:ascii="宋体" w:hAnsi="宋体"/>
          <w:b w:val="0"/>
          <w:bCs w:val="0"/>
          <w:color w:val="auto"/>
          <w:szCs w:val="21"/>
          <w:highlight w:val="none"/>
          <w:lang w:val="en-US" w:eastAsia="zh-CN"/>
        </w:rPr>
        <w:t>21</w:t>
      </w:r>
      <w:r>
        <w:rPr>
          <w:rFonts w:hint="eastAsia" w:ascii="宋体" w:hAnsi="宋体"/>
          <w:b w:val="0"/>
          <w:bCs w:val="0"/>
          <w:color w:val="auto"/>
          <w:szCs w:val="21"/>
          <w:highlight w:val="none"/>
        </w:rPr>
        <w:t>.2 本合同受不可抗拒灾害的影响，其合同履约期限的变更与否应由双方协商确定。受灾后的合同方应就</w:t>
      </w:r>
      <w:r>
        <w:rPr>
          <w:rFonts w:hint="eastAsia" w:ascii="宋体" w:hAnsi="宋体"/>
          <w:color w:val="auto"/>
          <w:szCs w:val="21"/>
          <w:highlight w:val="none"/>
        </w:rPr>
        <w:t>灾情、灾害对本合同项目的影响范围、程度、损失及灾后处理措施等提出详细的报告。双方均应以积极的态度，把灾害造成的损失减少到最小，并通过协商，确定合同延期的具体时间和灾害的责任等问题，落实进一步履行合同的各项措施。</w:t>
      </w:r>
    </w:p>
    <w:p w14:paraId="6CF8B033">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384" w:name="_Toc228082568"/>
      <w:bookmarkStart w:id="385" w:name="_Toc208853173"/>
      <w:bookmarkStart w:id="386" w:name="_Toc208898073"/>
      <w:bookmarkStart w:id="387" w:name="_Toc298326692"/>
      <w:bookmarkStart w:id="388" w:name="_Toc438471710"/>
      <w:bookmarkStart w:id="389" w:name="_Toc227572805"/>
      <w:bookmarkStart w:id="390" w:name="_Toc208891992"/>
      <w:bookmarkStart w:id="391" w:name="_Toc229824538"/>
      <w:bookmarkStart w:id="392" w:name="_Toc228074045"/>
      <w:bookmarkStart w:id="393" w:name="_Toc358017204"/>
      <w:bookmarkStart w:id="394" w:name="_Toc438482801"/>
      <w:r>
        <w:rPr>
          <w:rFonts w:hint="eastAsia" w:ascii="宋体" w:hAnsi="宋体" w:eastAsia="宋体"/>
          <w:b/>
          <w:bCs/>
          <w:color w:val="auto"/>
          <w:sz w:val="21"/>
          <w:szCs w:val="21"/>
          <w:highlight w:val="none"/>
          <w:lang w:val="en-US" w:eastAsia="zh-CN"/>
        </w:rPr>
        <w:t>22.</w:t>
      </w:r>
      <w:r>
        <w:rPr>
          <w:rFonts w:hint="eastAsia" w:ascii="宋体" w:hAnsi="宋体" w:eastAsia="宋体"/>
          <w:b/>
          <w:bCs/>
          <w:color w:val="auto"/>
          <w:sz w:val="21"/>
          <w:szCs w:val="21"/>
          <w:highlight w:val="none"/>
        </w:rPr>
        <w:t xml:space="preserve"> 保险</w:t>
      </w:r>
      <w:bookmarkEnd w:id="384"/>
      <w:bookmarkEnd w:id="385"/>
      <w:bookmarkEnd w:id="386"/>
      <w:bookmarkEnd w:id="387"/>
      <w:bookmarkEnd w:id="388"/>
      <w:bookmarkEnd w:id="389"/>
      <w:bookmarkEnd w:id="390"/>
      <w:bookmarkEnd w:id="391"/>
      <w:bookmarkEnd w:id="392"/>
      <w:bookmarkEnd w:id="393"/>
      <w:bookmarkEnd w:id="394"/>
    </w:p>
    <w:p w14:paraId="4F1014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根据国家规定办理保险事务。</w:t>
      </w:r>
    </w:p>
    <w:p w14:paraId="6A91B8D0">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395" w:name="_Toc227572807"/>
      <w:bookmarkStart w:id="396" w:name="_Toc208891994"/>
      <w:bookmarkStart w:id="397" w:name="_Toc358017206"/>
      <w:bookmarkStart w:id="398" w:name="_Toc438471712"/>
      <w:bookmarkStart w:id="399" w:name="_Toc438482803"/>
      <w:bookmarkStart w:id="400" w:name="_Toc228074047"/>
      <w:bookmarkStart w:id="401" w:name="_Toc229824540"/>
      <w:bookmarkStart w:id="402" w:name="_Toc208853175"/>
      <w:bookmarkStart w:id="403" w:name="_Toc298326694"/>
      <w:bookmarkStart w:id="404" w:name="_Toc228082570"/>
      <w:bookmarkStart w:id="405" w:name="_Toc208898075"/>
      <w:r>
        <w:rPr>
          <w:rFonts w:hint="eastAsia" w:ascii="宋体" w:hAnsi="宋体" w:eastAsia="宋体"/>
          <w:b/>
          <w:bCs/>
          <w:color w:val="auto"/>
          <w:sz w:val="21"/>
          <w:szCs w:val="21"/>
          <w:highlight w:val="none"/>
          <w:lang w:val="en-US" w:eastAsia="zh-CN"/>
        </w:rPr>
        <w:t>23.</w:t>
      </w:r>
      <w:r>
        <w:rPr>
          <w:rFonts w:hint="eastAsia" w:ascii="宋体" w:hAnsi="宋体" w:eastAsia="宋体"/>
          <w:b/>
          <w:bCs/>
          <w:color w:val="auto"/>
          <w:sz w:val="21"/>
          <w:szCs w:val="21"/>
          <w:highlight w:val="none"/>
        </w:rPr>
        <w:t xml:space="preserve"> 争议与仲裁</w:t>
      </w:r>
      <w:bookmarkEnd w:id="395"/>
      <w:bookmarkEnd w:id="396"/>
      <w:bookmarkEnd w:id="397"/>
      <w:bookmarkEnd w:id="398"/>
      <w:bookmarkEnd w:id="399"/>
      <w:bookmarkEnd w:id="400"/>
      <w:bookmarkEnd w:id="401"/>
      <w:bookmarkEnd w:id="402"/>
      <w:bookmarkEnd w:id="403"/>
      <w:bookmarkEnd w:id="404"/>
      <w:bookmarkEnd w:id="405"/>
    </w:p>
    <w:p w14:paraId="6E8D5A7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本合同发生合同纠纷时，双方应通过协商解决。协商不成时，申述方可直接向</w:t>
      </w:r>
      <w:r>
        <w:rPr>
          <w:rFonts w:hint="eastAsia" w:ascii="宋体" w:hAnsi="宋体"/>
          <w:color w:val="auto"/>
          <w:szCs w:val="21"/>
          <w:highlight w:val="none"/>
          <w:lang w:eastAsia="zh-CN"/>
        </w:rPr>
        <w:t>万州</w:t>
      </w:r>
      <w:r>
        <w:rPr>
          <w:rFonts w:hint="eastAsia" w:ascii="宋体" w:hAnsi="宋体"/>
          <w:color w:val="auto"/>
          <w:szCs w:val="21"/>
          <w:highlight w:val="none"/>
        </w:rPr>
        <w:t>区人民法院起诉。</w:t>
      </w:r>
    </w:p>
    <w:p w14:paraId="7AB119E4">
      <w:pPr>
        <w:pStyle w:val="4"/>
        <w:spacing w:before="0" w:after="0" w:line="360" w:lineRule="auto"/>
        <w:ind w:firstLine="422" w:firstLineChars="200"/>
        <w:jc w:val="both"/>
        <w:outlineLvl w:val="3"/>
        <w:rPr>
          <w:rFonts w:hint="eastAsia" w:ascii="宋体" w:hAnsi="宋体" w:eastAsia="宋体"/>
          <w:b/>
          <w:bCs/>
          <w:color w:val="auto"/>
          <w:sz w:val="21"/>
          <w:szCs w:val="21"/>
          <w:highlight w:val="none"/>
        </w:rPr>
      </w:pPr>
      <w:bookmarkStart w:id="406" w:name="_Toc358017207"/>
      <w:bookmarkStart w:id="407" w:name="_Toc208853176"/>
      <w:bookmarkStart w:id="408" w:name="_Toc228074048"/>
      <w:bookmarkStart w:id="409" w:name="_Toc208891995"/>
      <w:bookmarkStart w:id="410" w:name="_Toc228082571"/>
      <w:bookmarkStart w:id="411" w:name="_Toc227572808"/>
      <w:bookmarkStart w:id="412" w:name="_Toc298326695"/>
      <w:bookmarkStart w:id="413" w:name="_Toc229824541"/>
      <w:bookmarkStart w:id="414" w:name="_Toc438482804"/>
      <w:bookmarkStart w:id="415" w:name="_Toc438471713"/>
      <w:bookmarkStart w:id="416" w:name="_Toc208898076"/>
      <w:r>
        <w:rPr>
          <w:rFonts w:hint="eastAsia" w:ascii="宋体" w:hAnsi="宋体" w:eastAsia="宋体"/>
          <w:b/>
          <w:bCs/>
          <w:color w:val="auto"/>
          <w:sz w:val="21"/>
          <w:szCs w:val="21"/>
          <w:highlight w:val="none"/>
          <w:lang w:val="en-US" w:eastAsia="zh-CN"/>
        </w:rPr>
        <w:t>24.</w:t>
      </w:r>
      <w:r>
        <w:rPr>
          <w:rFonts w:hint="eastAsia" w:ascii="宋体" w:hAnsi="宋体" w:eastAsia="宋体"/>
          <w:b/>
          <w:bCs/>
          <w:color w:val="auto"/>
          <w:sz w:val="21"/>
          <w:szCs w:val="21"/>
          <w:highlight w:val="none"/>
        </w:rPr>
        <w:t xml:space="preserve"> 法律</w:t>
      </w:r>
      <w:bookmarkEnd w:id="406"/>
      <w:bookmarkEnd w:id="407"/>
      <w:bookmarkEnd w:id="408"/>
      <w:bookmarkEnd w:id="409"/>
      <w:bookmarkEnd w:id="410"/>
      <w:bookmarkEnd w:id="411"/>
      <w:bookmarkEnd w:id="412"/>
      <w:bookmarkEnd w:id="413"/>
      <w:bookmarkEnd w:id="414"/>
      <w:bookmarkEnd w:id="415"/>
      <w:bookmarkEnd w:id="416"/>
    </w:p>
    <w:p w14:paraId="241989D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本合同签署双方均应遵守</w:t>
      </w:r>
      <w:r>
        <w:rPr>
          <w:rFonts w:hint="eastAsia" w:ascii="宋体" w:hAnsi="宋体"/>
          <w:color w:val="auto"/>
          <w:szCs w:val="21"/>
          <w:highlight w:val="none"/>
          <w:lang w:eastAsia="zh-CN"/>
        </w:rPr>
        <w:t>《中华人民共和国民法典》</w:t>
      </w:r>
      <w:r>
        <w:rPr>
          <w:rFonts w:hint="eastAsia" w:ascii="宋体" w:hAnsi="宋体"/>
          <w:color w:val="auto"/>
          <w:szCs w:val="21"/>
          <w:highlight w:val="none"/>
        </w:rPr>
        <w:t>、《中华人民共和国招投标法》等法律、法规、规章及</w:t>
      </w:r>
      <w:r>
        <w:rPr>
          <w:rFonts w:hint="eastAsia" w:ascii="宋体" w:hAnsi="宋体"/>
          <w:color w:val="auto"/>
          <w:szCs w:val="21"/>
          <w:highlight w:val="none"/>
          <w:lang w:eastAsia="zh-CN"/>
        </w:rPr>
        <w:t>重庆</w:t>
      </w:r>
      <w:r>
        <w:rPr>
          <w:rFonts w:hint="eastAsia" w:ascii="宋体" w:hAnsi="宋体"/>
          <w:color w:val="auto"/>
          <w:szCs w:val="21"/>
          <w:highlight w:val="none"/>
        </w:rPr>
        <w:t>有关招标投标规定。</w:t>
      </w:r>
    </w:p>
    <w:p w14:paraId="5E03F343">
      <w:pPr>
        <w:snapToGrid w:val="0"/>
        <w:spacing w:line="360" w:lineRule="auto"/>
        <w:rPr>
          <w:rFonts w:hint="eastAsia" w:ascii="宋体" w:hAnsi="宋体"/>
          <w:color w:val="auto"/>
          <w:szCs w:val="21"/>
          <w:highlight w:val="none"/>
        </w:rPr>
      </w:pPr>
    </w:p>
    <w:p w14:paraId="09C6F853">
      <w:pPr>
        <w:pStyle w:val="3"/>
        <w:keepNext/>
        <w:keepLines/>
        <w:pageBreakBefore w:val="0"/>
        <w:widowControl w:val="0"/>
        <w:kinsoku/>
        <w:wordWrap/>
        <w:overflowPunct/>
        <w:topLinePunct w:val="0"/>
        <w:autoSpaceDE/>
        <w:autoSpaceDN/>
        <w:bidi w:val="0"/>
        <w:adjustRightInd/>
        <w:snapToGrid/>
        <w:spacing w:before="0" w:after="157" w:afterLines="50" w:line="360" w:lineRule="auto"/>
        <w:ind w:firstLine="643" w:firstLineChars="200"/>
        <w:jc w:val="center"/>
        <w:textAlignment w:val="auto"/>
        <w:rPr>
          <w:rFonts w:hint="eastAsia" w:ascii="宋体" w:hAnsi="宋体" w:eastAsia="宋体" w:cs="宋体"/>
          <w:b/>
          <w:color w:val="auto"/>
          <w:kern w:val="0"/>
          <w:sz w:val="28"/>
          <w:szCs w:val="28"/>
          <w:lang w:val="en-US" w:eastAsia="zh-CN" w:bidi="ar-SA"/>
        </w:rPr>
      </w:pPr>
      <w:r>
        <w:rPr>
          <w:rFonts w:ascii="宋体" w:hAnsi="宋体"/>
          <w:color w:val="auto"/>
          <w:szCs w:val="21"/>
          <w:highlight w:val="none"/>
        </w:rPr>
        <w:br w:type="page"/>
      </w:r>
      <w:r>
        <w:rPr>
          <w:rFonts w:hint="eastAsia" w:ascii="宋体" w:hAnsi="宋体" w:eastAsia="宋体" w:cs="宋体"/>
          <w:b/>
          <w:color w:val="auto"/>
          <w:kern w:val="0"/>
          <w:sz w:val="28"/>
          <w:szCs w:val="28"/>
          <w:lang w:val="en-US" w:eastAsia="zh-CN" w:bidi="ar-SA"/>
        </w:rPr>
        <w:t xml:space="preserve"> 第二部分  合同附件</w:t>
      </w:r>
    </w:p>
    <w:p w14:paraId="004A5008">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jc w:val="both"/>
        <w:textAlignment w:val="auto"/>
        <w:outlineLvl w:val="9"/>
        <w:rPr>
          <w:rFonts w:hint="eastAsia" w:ascii="宋体" w:hAnsi="宋体"/>
          <w:b/>
          <w:snapToGrid w:val="0"/>
          <w:color w:val="auto"/>
          <w:kern w:val="32"/>
          <w:sz w:val="11"/>
          <w:szCs w:val="11"/>
          <w:highlight w:val="none"/>
          <w:lang w:val="en-US" w:eastAsia="zh-CN"/>
        </w:rPr>
      </w:pPr>
    </w:p>
    <w:p w14:paraId="147BB384">
      <w:pPr>
        <w:pStyle w:val="2"/>
        <w:adjustRightInd w:val="0"/>
        <w:snapToGrid w:val="0"/>
        <w:spacing w:after="0" w:line="600" w:lineRule="exact"/>
        <w:rPr>
          <w:rFonts w:hint="eastAsia"/>
          <w:color w:val="auto"/>
          <w:sz w:val="32"/>
          <w:szCs w:val="32"/>
        </w:rPr>
      </w:pPr>
      <w:r>
        <w:rPr>
          <w:rFonts w:ascii="方正黑体_GBK" w:hAnsi="方正黑体_GBK" w:eastAsia="方正黑体_GBK"/>
          <w:color w:val="auto"/>
          <w:sz w:val="32"/>
          <w:szCs w:val="32"/>
        </w:rPr>
        <w:t>附件</w:t>
      </w:r>
      <w:r>
        <w:rPr>
          <w:color w:val="auto"/>
          <w:sz w:val="32"/>
          <w:szCs w:val="32"/>
        </w:rPr>
        <w:t>1</w:t>
      </w:r>
    </w:p>
    <w:p w14:paraId="65E3F780">
      <w:pPr>
        <w:adjustRightInd w:val="0"/>
        <w:snapToGrid w:val="0"/>
        <w:spacing w:line="600" w:lineRule="exact"/>
        <w:jc w:val="center"/>
        <w:rPr>
          <w:rFonts w:ascii="方正小标宋_GBK" w:hAnsi="方正小标宋_GBK" w:eastAsia="方正小标宋_GBK"/>
          <w:color w:val="auto"/>
          <w:sz w:val="44"/>
          <w:szCs w:val="44"/>
        </w:rPr>
      </w:pPr>
      <w:r>
        <w:rPr>
          <w:rFonts w:ascii="方正小标宋_GBK" w:hAnsi="方正小标宋_GBK" w:eastAsia="方正小标宋_GBK"/>
          <w:bCs/>
          <w:color w:val="auto"/>
          <w:sz w:val="44"/>
          <w:szCs w:val="44"/>
        </w:rPr>
        <w:t>廉洁协议</w:t>
      </w:r>
    </w:p>
    <w:p w14:paraId="37725288">
      <w:pPr>
        <w:pStyle w:val="2"/>
        <w:adjustRightInd w:val="0"/>
        <w:snapToGrid w:val="0"/>
        <w:spacing w:after="0" w:line="600" w:lineRule="exact"/>
        <w:ind w:firstLine="640"/>
        <w:rPr>
          <w:color w:val="auto"/>
          <w:sz w:val="32"/>
          <w:szCs w:val="32"/>
        </w:rPr>
      </w:pPr>
    </w:p>
    <w:p w14:paraId="5472F54C">
      <w:pPr>
        <w:spacing w:line="360" w:lineRule="auto"/>
        <w:ind w:firstLine="420" w:firstLineChars="200"/>
        <w:rPr>
          <w:rFonts w:hint="eastAsia" w:ascii="宋体" w:hAnsi="宋体" w:cs="宋体"/>
          <w:color w:val="000000"/>
          <w:szCs w:val="21"/>
          <w:u w:val="single"/>
          <w:lang w:val="en-US" w:eastAsia="zh-CN"/>
        </w:rPr>
      </w:pPr>
      <w:r>
        <w:rPr>
          <w:rFonts w:hint="eastAsia" w:ascii="宋体" w:hAnsi="宋体" w:eastAsia="宋体" w:cs="Times New Roman"/>
          <w:color w:val="auto"/>
          <w:szCs w:val="21"/>
          <w:highlight w:val="none"/>
        </w:rPr>
        <w:t>甲方：</w:t>
      </w:r>
      <w:r>
        <w:rPr>
          <w:rFonts w:hint="eastAsia" w:ascii="宋体" w:hAnsi="宋体" w:cs="宋体"/>
          <w:color w:val="000000"/>
          <w:szCs w:val="21"/>
          <w:u w:val="single"/>
          <w:lang w:val="en-US" w:eastAsia="zh-CN"/>
        </w:rPr>
        <w:t xml:space="preserve"> </w:t>
      </w:r>
    </w:p>
    <w:p w14:paraId="40DF1DA4">
      <w:pPr>
        <w:spacing w:line="360" w:lineRule="auto"/>
        <w:ind w:firstLine="420" w:firstLineChars="200"/>
        <w:rPr>
          <w:rFonts w:hint="default" w:ascii="宋体" w:hAnsi="宋体" w:cs="宋体"/>
          <w:color w:val="000000"/>
          <w:szCs w:val="21"/>
          <w:u w:val="single"/>
          <w:lang w:val="en-US" w:eastAsia="zh-CN"/>
        </w:rPr>
      </w:pPr>
      <w:r>
        <w:rPr>
          <w:rFonts w:hint="eastAsia" w:ascii="宋体" w:hAnsi="宋体" w:eastAsia="宋体" w:cs="Times New Roman"/>
          <w:color w:val="auto"/>
          <w:szCs w:val="21"/>
          <w:highlight w:val="none"/>
        </w:rPr>
        <w:t>乙方：</w:t>
      </w:r>
    </w:p>
    <w:p w14:paraId="6827800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为了防范和控制</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b/>
          <w:sz w:val="28"/>
          <w:szCs w:val="28"/>
          <w:u w:val="single"/>
          <w:lang w:val="en-US" w:eastAsia="zh-CN"/>
        </w:rPr>
        <w:t xml:space="preserve"> </w:t>
      </w:r>
      <w:r>
        <w:rPr>
          <w:rFonts w:hint="eastAsia" w:ascii="宋体" w:hAnsi="宋体" w:eastAsia="宋体" w:cs="Times New Roman"/>
          <w:color w:val="auto"/>
          <w:szCs w:val="21"/>
          <w:highlight w:val="none"/>
        </w:rPr>
        <w:t>合同（合同编号：</w:t>
      </w:r>
      <w:r>
        <w:rPr>
          <w:rFonts w:hint="eastAsia" w:ascii="宋体" w:hAnsi="宋体" w:eastAsia="宋体" w:cs="宋体"/>
          <w:b/>
          <w:bCs/>
          <w:sz w:val="28"/>
          <w:szCs w:val="28"/>
          <w:u w:val="single"/>
          <w:lang w:val="en-US" w:eastAsia="zh-CN"/>
        </w:rPr>
        <w:t xml:space="preserve">       </w:t>
      </w:r>
      <w:r>
        <w:rPr>
          <w:rFonts w:hint="eastAsia" w:ascii="宋体" w:hAnsi="宋体" w:eastAsia="宋体" w:cs="Times New Roman"/>
          <w:color w:val="auto"/>
          <w:szCs w:val="21"/>
          <w:highlight w:val="none"/>
        </w:rPr>
        <w:t>）商定和履行过程中的廉洁风险，维护正常的市场秩序和双方的合法权益，保障相关资金的规范、有效使用，根据反腐倡廉有关规定，经双方商议，特订立本协议。</w:t>
      </w:r>
    </w:p>
    <w:p w14:paraId="5B833A1D">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一、甲乙双方责任</w:t>
      </w:r>
    </w:p>
    <w:p w14:paraId="775225F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1．严格遵守国家的法律法规和廉洁从业有关规定。</w:t>
      </w:r>
    </w:p>
    <w:p w14:paraId="0E350C9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2．坚持公开、公正、诚信、透明的原则（国家秘密、法律认定的商业秘密和合同文件另有规定的除外），不得损害国家、集体和双方的正当利益。</w:t>
      </w:r>
    </w:p>
    <w:p w14:paraId="77B0C81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3．定期开展党风廉政宣传教育活动，提高从业人员的廉洁意识。</w:t>
      </w:r>
    </w:p>
    <w:p w14:paraId="2A3E8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4．规范招标及采购管理，严格执行合同文件，自觉按照合同条款办事。</w:t>
      </w:r>
    </w:p>
    <w:p w14:paraId="316EABE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5．开展多种形式的监督检查。</w:t>
      </w:r>
    </w:p>
    <w:p w14:paraId="2A6FA40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6．发生涉及本业务活动的不廉洁问题，及时按规定向双方纪检部门或司法机关举报或通报，并积极配合查处。</w:t>
      </w:r>
    </w:p>
    <w:p w14:paraId="7E322DCF">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二、甲方人员义务</w:t>
      </w:r>
    </w:p>
    <w:p w14:paraId="552904D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1．不得索取或接受乙方提供的利益和方便。</w:t>
      </w:r>
    </w:p>
    <w:p w14:paraId="24330BA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（1）不得索取或接受乙方的礼品、礼金、有价证券、电子红包、支付凭证和商业预付卡等（以下简称“礼品礼金”）。</w:t>
      </w:r>
    </w:p>
    <w:p w14:paraId="6EDA762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（2）不得参加乙方安排的宴请和娱乐活动；不得接受乙方提供的通讯工具、交通工具、高档办公用品及其他服务。</w:t>
      </w:r>
    </w:p>
    <w:p w14:paraId="28ED897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（3）不得在个人住房装修、婚丧嫁娶、配偶、子女和其他亲属就业、出国出境、旅游等事宜中索取或接受乙方提供的利益和便利；不得在乙方报销任何应由甲方负担或支付的费用。</w:t>
      </w:r>
    </w:p>
    <w:p w14:paraId="4B3874D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2．不得利用职权从事各种有偿中介活动，不得营私舞弊。</w:t>
      </w:r>
    </w:p>
    <w:p w14:paraId="29D3C4A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3．甲方人员的配偶、子女、近亲属不得从事与甲方项目有关的物资供应、工程分包、劳务等经济活动。</w:t>
      </w:r>
    </w:p>
    <w:p w14:paraId="4C4FBAB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4．不得违反规定向乙方推荐分包商或供应商。</w:t>
      </w:r>
    </w:p>
    <w:p w14:paraId="58C121E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5．不得有其他不廉洁行为。</w:t>
      </w:r>
    </w:p>
    <w:p w14:paraId="183BCEA1">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三、乙方人员义务</w:t>
      </w:r>
    </w:p>
    <w:p w14:paraId="4B360CA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1．不得以任何形式向甲方及相关人员输送利益和方便。</w:t>
      </w:r>
    </w:p>
    <w:p w14:paraId="4091B76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（1）不得向甲方及相关人员行贿或馈赠礼品礼金。</w:t>
      </w:r>
    </w:p>
    <w:p w14:paraId="068BE4F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（2）不得向甲方及相关人员提供宴请和娱乐活动；不得为其购置或提供通讯工具、交通工具、高档办公用品及其他服务。</w:t>
      </w:r>
    </w:p>
    <w:p w14:paraId="4294295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（3）不得为甲方及相关人员在住房装修、婚丧嫁娶、配偶、子女和其他亲属就业、出国出境、旅游等事宜中提供利益和便利；不得以任何名义报销应由甲方及相关人员负担或支付的费用。</w:t>
      </w:r>
    </w:p>
    <w:p w14:paraId="338B1F8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2．不得有其他不廉洁行为。</w:t>
      </w:r>
    </w:p>
    <w:p w14:paraId="39E9DBB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3．积极支持配合甲方调查问题，不得隐瞒、袒护甲方及相关人员的不廉洁问题。</w:t>
      </w:r>
    </w:p>
    <w:p w14:paraId="653294BC">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四、责任追究</w:t>
      </w:r>
    </w:p>
    <w:p w14:paraId="0CFB9BC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1．按照国家、上级机关和甲乙双方的有关制度和规定，以甲方为主、乙方配合，追究涉及的不廉洁问题。</w:t>
      </w:r>
    </w:p>
    <w:p w14:paraId="14EA953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2．建立廉洁违约罚金制度。廉洁违约罚金的额度为合同总额的1%（不超过50万元）。如违反本协议，根据情节、损失和后果按以下规定在合同支付款中进行扣减。</w:t>
      </w:r>
    </w:p>
    <w:p w14:paraId="1A29CD0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（1）造成直接损失或不良后果，情节较轻的，扣除10%－40%廉洁违约罚金。</w:t>
      </w:r>
    </w:p>
    <w:p w14:paraId="7379511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（2）情节较重的，扣除50%廉洁违约罚金。</w:t>
      </w:r>
    </w:p>
    <w:p w14:paraId="03A5D3E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（3）情节严重的，扣除100%廉洁违约罚金。</w:t>
      </w:r>
    </w:p>
    <w:p w14:paraId="51103E4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3．廉洁违约罚金的扣减：由甲方合同管理单位根据纪检部门意见，与合同进度款的结算同步进行。</w:t>
      </w:r>
    </w:p>
    <w:p w14:paraId="2468E6E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4．对积极配合甲方调查，并确有立功表现或从轻、减轻违纪违规情节的，可根据相关规定履行审批手续后酌情减免处罚。</w:t>
      </w:r>
    </w:p>
    <w:p w14:paraId="42057A7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5．上述处罚的同时，甲方可按照三峡水利有关规定另行给予乙方暂停合同履行、降低信用评级、禁止参加甲方其他项目等处理。</w:t>
      </w:r>
    </w:p>
    <w:p w14:paraId="2A77149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6．甲方违反本协议，影响乙方履行合同并造成损失的，甲方应承担赔偿责任。</w:t>
      </w:r>
    </w:p>
    <w:p w14:paraId="22332C2C">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五、监督执行</w:t>
      </w:r>
    </w:p>
    <w:p w14:paraId="4D6DD3F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1．本协议作为业务合同的附件，由甲乙双方纪检部门联合监督执行。</w:t>
      </w:r>
    </w:p>
    <w:p w14:paraId="407EB64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2．甲方举报电话：</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；乙方举报电话：</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6A9A849B">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六、其他</w:t>
      </w:r>
    </w:p>
    <w:p w14:paraId="0FE315E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1．因执行本协议所发生的有关争议，适用主合同争议解决条款。</w:t>
      </w:r>
    </w:p>
    <w:p w14:paraId="0DCF1A9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2．本协议签订份数与主合同一致。</w:t>
      </w:r>
    </w:p>
    <w:p w14:paraId="19AD465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3．本协议作为附件与主合同同步审批，经双方签字盖章后起生效。</w:t>
      </w:r>
    </w:p>
    <w:p w14:paraId="34D71B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r>
        <w:rPr>
          <w:rFonts w:hint="eastAsia" w:ascii="宋体" w:hAnsi="宋体"/>
          <w:bCs/>
          <w:color w:val="auto"/>
          <w:szCs w:val="21"/>
        </w:rPr>
        <w:t>（以下为签字盖章页）。</w:t>
      </w:r>
    </w:p>
    <w:p w14:paraId="4379EC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p>
    <w:p w14:paraId="4E4BA799">
      <w:pPr>
        <w:spacing w:line="360" w:lineRule="auto"/>
        <w:ind w:firstLine="420" w:firstLineChars="200"/>
        <w:rPr>
          <w:rFonts w:hint="eastAsia" w:ascii="宋体" w:hAnsi="宋体" w:eastAsia="宋体" w:cs="Times New Roman"/>
          <w:color w:val="auto"/>
          <w:szCs w:val="21"/>
          <w:highlight w:val="none"/>
        </w:rPr>
      </w:pPr>
    </w:p>
    <w:p w14:paraId="3C48613D">
      <w:pPr>
        <w:spacing w:line="360" w:lineRule="auto"/>
        <w:ind w:firstLine="420" w:firstLineChars="200"/>
        <w:rPr>
          <w:rFonts w:hint="eastAsia" w:ascii="宋体" w:hAnsi="宋体" w:eastAsia="宋体" w:cs="Times New Roman"/>
          <w:color w:val="auto"/>
          <w:szCs w:val="21"/>
          <w:highlight w:val="none"/>
        </w:rPr>
      </w:pPr>
    </w:p>
    <w:p w14:paraId="675A63BF">
      <w:pPr>
        <w:spacing w:line="360" w:lineRule="auto"/>
        <w:ind w:firstLine="420" w:firstLineChars="200"/>
        <w:rPr>
          <w:rFonts w:hint="eastAsia" w:ascii="宋体" w:hAnsi="宋体" w:eastAsia="宋体" w:cs="Times New Roman"/>
          <w:color w:val="auto"/>
          <w:szCs w:val="21"/>
          <w:highlight w:val="none"/>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728"/>
        <w:gridCol w:w="4651"/>
      </w:tblGrid>
      <w:tr w14:paraId="5DB0F37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83" w:hRule="atLeast"/>
          <w:jc w:val="center"/>
        </w:trPr>
        <w:tc>
          <w:tcPr>
            <w:tcW w:w="4728" w:type="dxa"/>
            <w:noWrap w:val="0"/>
            <w:vAlign w:val="center"/>
          </w:tcPr>
          <w:p w14:paraId="7B71B0FD">
            <w:pPr>
              <w:widowControl/>
              <w:spacing w:line="36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lang w:val="en-US" w:eastAsia="zh-CN"/>
              </w:rPr>
              <w:t>甲</w:t>
            </w:r>
            <w:r>
              <w:rPr>
                <w:rFonts w:hint="eastAsia" w:ascii="方正仿宋_GBK" w:hAnsi="方正仿宋_GBK" w:eastAsia="方正仿宋_GBK" w:cs="方正仿宋_GBK"/>
                <w:b/>
                <w:color w:val="auto"/>
                <w:sz w:val="24"/>
                <w:highlight w:val="none"/>
              </w:rPr>
              <w:t xml:space="preserve">      方</w:t>
            </w:r>
          </w:p>
        </w:tc>
        <w:tc>
          <w:tcPr>
            <w:tcW w:w="4651" w:type="dxa"/>
            <w:noWrap w:val="0"/>
            <w:vAlign w:val="center"/>
          </w:tcPr>
          <w:p w14:paraId="4C6F904D">
            <w:pPr>
              <w:widowControl/>
              <w:spacing w:line="36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lang w:val="en-US" w:eastAsia="zh-CN"/>
              </w:rPr>
              <w:t>乙</w:t>
            </w:r>
            <w:r>
              <w:rPr>
                <w:rFonts w:hint="eastAsia" w:ascii="方正仿宋_GBK" w:hAnsi="方正仿宋_GBK" w:eastAsia="方正仿宋_GBK" w:cs="方正仿宋_GBK"/>
                <w:b/>
                <w:color w:val="auto"/>
                <w:sz w:val="24"/>
                <w:highlight w:val="none"/>
              </w:rPr>
              <w:t xml:space="preserve">      方</w:t>
            </w:r>
          </w:p>
        </w:tc>
      </w:tr>
      <w:tr w14:paraId="6ADC823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333" w:hRule="atLeast"/>
          <w:jc w:val="center"/>
        </w:trPr>
        <w:tc>
          <w:tcPr>
            <w:tcW w:w="4728" w:type="dxa"/>
            <w:noWrap w:val="0"/>
            <w:vAlign w:val="top"/>
          </w:tcPr>
          <w:p w14:paraId="7F0144F1">
            <w:pPr>
              <w:keepNext w:val="0"/>
              <w:keepLines w:val="0"/>
              <w:pageBreakBefore w:val="0"/>
              <w:widowControl w:val="0"/>
              <w:kinsoku/>
              <w:wordWrap/>
              <w:overflowPunct/>
              <w:topLinePunct w:val="0"/>
              <w:autoSpaceDE/>
              <w:autoSpaceDN/>
              <w:bidi w:val="0"/>
              <w:adjustRightInd/>
              <w:snapToGrid/>
              <w:spacing w:line="480" w:lineRule="exact"/>
              <w:ind w:left="1200" w:leftChars="0" w:hanging="1200" w:hangingChars="500"/>
              <w:textAlignment w:val="auto"/>
              <w:rPr>
                <w:rFonts w:hint="eastAsia" w:ascii="方正仿宋_GBK" w:hAnsi="方正仿宋_GBK" w:eastAsia="方正仿宋_GBK" w:cs="方正仿宋_GBK"/>
                <w:bCs/>
                <w:color w:val="auto"/>
                <w:sz w:val="24"/>
                <w:highlight w:val="none"/>
                <w:lang w:eastAsia="zh-CN"/>
              </w:rPr>
            </w:pPr>
            <w:r>
              <w:rPr>
                <w:rFonts w:hint="eastAsia" w:ascii="方正仿宋_GBK" w:hAnsi="方正仿宋_GBK" w:eastAsia="方正仿宋_GBK" w:cs="方正仿宋_GBK"/>
                <w:bCs/>
                <w:color w:val="auto"/>
                <w:sz w:val="24"/>
                <w:highlight w:val="none"/>
              </w:rPr>
              <w:t>单位（公章）：</w:t>
            </w:r>
            <w:r>
              <w:rPr>
                <w:rFonts w:hint="eastAsia" w:ascii="方正仿宋_GBK" w:hAnsi="方正仿宋_GBK" w:eastAsia="方正仿宋_GBK" w:cs="方正仿宋_GBK"/>
                <w:bCs/>
                <w:color w:val="auto"/>
                <w:sz w:val="24"/>
                <w:highlight w:val="none"/>
                <w:lang w:val="en-US" w:eastAsia="zh-CN"/>
              </w:rPr>
              <w:t xml:space="preserve"> </w:t>
            </w:r>
          </w:p>
        </w:tc>
        <w:tc>
          <w:tcPr>
            <w:tcW w:w="4651" w:type="dxa"/>
            <w:noWrap w:val="0"/>
            <w:vAlign w:val="top"/>
          </w:tcPr>
          <w:p w14:paraId="1B2CF3E1">
            <w:pPr>
              <w:keepNext w:val="0"/>
              <w:keepLines w:val="0"/>
              <w:pageBreakBefore w:val="0"/>
              <w:widowControl w:val="0"/>
              <w:kinsoku/>
              <w:wordWrap/>
              <w:overflowPunct/>
              <w:topLinePunct w:val="0"/>
              <w:autoSpaceDE/>
              <w:autoSpaceDN/>
              <w:bidi w:val="0"/>
              <w:adjustRightInd/>
              <w:snapToGrid/>
              <w:spacing w:line="480" w:lineRule="exact"/>
              <w:ind w:left="1200" w:leftChars="0" w:hanging="1200" w:hangingChars="500"/>
              <w:textAlignment w:val="auto"/>
              <w:rPr>
                <w:rFonts w:hint="default" w:ascii="方正仿宋_GBK" w:hAnsi="方正仿宋_GBK" w:eastAsia="方正仿宋_GBK" w:cs="方正仿宋_GBK"/>
                <w:bCs/>
                <w:color w:val="auto"/>
                <w:sz w:val="24"/>
                <w:highlight w:val="none"/>
                <w:lang w:val="en-US" w:eastAsia="zh-CN"/>
              </w:rPr>
            </w:pPr>
            <w:r>
              <w:rPr>
                <w:rFonts w:hint="eastAsia" w:ascii="方正仿宋_GBK" w:hAnsi="方正仿宋_GBK" w:eastAsia="方正仿宋_GBK" w:cs="方正仿宋_GBK"/>
                <w:bCs/>
                <w:color w:val="auto"/>
                <w:sz w:val="24"/>
                <w:highlight w:val="none"/>
              </w:rPr>
              <w:t>单位（公章）：</w:t>
            </w:r>
          </w:p>
          <w:p w14:paraId="5B289375">
            <w:pPr>
              <w:spacing w:line="480" w:lineRule="exact"/>
              <w:ind w:left="1440" w:leftChars="0" w:hanging="1440" w:hangingChars="600"/>
              <w:rPr>
                <w:rFonts w:hint="eastAsia" w:ascii="方正仿宋_GBK" w:hAnsi="方正仿宋_GBK" w:eastAsia="方正仿宋_GBK" w:cs="方正仿宋_GBK"/>
                <w:bCs/>
                <w:color w:val="auto"/>
                <w:sz w:val="24"/>
                <w:highlight w:val="none"/>
                <w:lang w:eastAsia="zh-CN"/>
              </w:rPr>
            </w:pPr>
          </w:p>
        </w:tc>
      </w:tr>
      <w:tr w14:paraId="198EC0D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91" w:hRule="atLeast"/>
          <w:jc w:val="center"/>
        </w:trPr>
        <w:tc>
          <w:tcPr>
            <w:tcW w:w="4728" w:type="dxa"/>
            <w:noWrap w:val="0"/>
            <w:vAlign w:val="top"/>
          </w:tcPr>
          <w:p w14:paraId="17CF02B8">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法定代表人或</w:t>
            </w:r>
          </w:p>
        </w:tc>
        <w:tc>
          <w:tcPr>
            <w:tcW w:w="4651" w:type="dxa"/>
            <w:noWrap w:val="0"/>
            <w:vAlign w:val="top"/>
          </w:tcPr>
          <w:p w14:paraId="2F445F27">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法定代表人或</w:t>
            </w:r>
          </w:p>
        </w:tc>
      </w:tr>
      <w:tr w14:paraId="47E5AF4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30" w:hRule="atLeast"/>
          <w:jc w:val="center"/>
        </w:trPr>
        <w:tc>
          <w:tcPr>
            <w:tcW w:w="4728" w:type="dxa"/>
            <w:noWrap w:val="0"/>
            <w:vAlign w:val="top"/>
          </w:tcPr>
          <w:p w14:paraId="2DC72D0F">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 xml:space="preserve">其授权代表（签名）： </w:t>
            </w:r>
          </w:p>
        </w:tc>
        <w:tc>
          <w:tcPr>
            <w:tcW w:w="4651" w:type="dxa"/>
            <w:noWrap w:val="0"/>
            <w:vAlign w:val="top"/>
          </w:tcPr>
          <w:p w14:paraId="53DA8063">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 xml:space="preserve">其授权代表（签名）： </w:t>
            </w:r>
          </w:p>
        </w:tc>
      </w:tr>
      <w:tr w14:paraId="7CC4BD6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0" w:hRule="atLeast"/>
          <w:jc w:val="center"/>
        </w:trPr>
        <w:tc>
          <w:tcPr>
            <w:tcW w:w="4728" w:type="dxa"/>
            <w:noWrap w:val="0"/>
            <w:vAlign w:val="center"/>
          </w:tcPr>
          <w:p w14:paraId="105A012A">
            <w:pPr>
              <w:spacing w:line="480" w:lineRule="exact"/>
              <w:rPr>
                <w:rFonts w:hint="eastAsia" w:ascii="方正仿宋_GBK" w:hAnsi="方正仿宋_GBK" w:eastAsia="方正仿宋_GBK" w:cs="方正仿宋_GBK"/>
                <w:bCs/>
                <w:color w:val="auto"/>
                <w:kern w:val="0"/>
                <w:sz w:val="24"/>
                <w:highlight w:val="none"/>
                <w:u w:val="single"/>
                <w:lang w:val="en-US" w:eastAsia="zh-CN"/>
              </w:rPr>
            </w:pPr>
            <w:r>
              <w:rPr>
                <w:rFonts w:hint="eastAsia" w:ascii="方正仿宋_GBK" w:hAnsi="方正仿宋_GBK" w:eastAsia="方正仿宋_GBK" w:cs="方正仿宋_GBK"/>
                <w:bCs/>
                <w:color w:val="auto"/>
                <w:sz w:val="24"/>
                <w:highlight w:val="none"/>
                <w:lang w:val="en-US" w:eastAsia="zh-CN"/>
              </w:rPr>
              <w:t>签订日期</w:t>
            </w:r>
            <w:r>
              <w:rPr>
                <w:rFonts w:hint="eastAsia" w:ascii="方正仿宋_GBK" w:hAnsi="方正仿宋_GBK" w:eastAsia="方正仿宋_GBK" w:cs="方正仿宋_GBK"/>
                <w:bCs/>
                <w:color w:val="auto"/>
                <w:sz w:val="24"/>
                <w:highlight w:val="none"/>
              </w:rPr>
              <w:t>：</w:t>
            </w:r>
            <w:r>
              <w:rPr>
                <w:rFonts w:hint="eastAsia" w:ascii="方正仿宋_GBK" w:hAnsi="方正仿宋_GBK" w:eastAsia="方正仿宋_GBK" w:cs="方正仿宋_GBK"/>
                <w:bCs/>
                <w:color w:val="auto"/>
                <w:kern w:val="0"/>
                <w:sz w:val="24"/>
                <w:highlight w:val="none"/>
                <w:u w:val="none"/>
                <w:lang w:val="en-US" w:eastAsia="zh-CN"/>
              </w:rPr>
              <w:t>2025</w:t>
            </w:r>
            <w:r>
              <w:rPr>
                <w:rFonts w:hint="eastAsia" w:ascii="方正仿宋_GBK" w:hAnsi="方正仿宋_GBK" w:eastAsia="方正仿宋_GBK" w:cs="方正仿宋_GBK"/>
                <w:bCs/>
                <w:color w:val="auto"/>
                <w:kern w:val="0"/>
                <w:sz w:val="24"/>
                <w:highlight w:val="none"/>
                <w:u w:val="single"/>
                <w:lang w:val="en-US" w:eastAsia="zh-CN"/>
              </w:rPr>
              <w:t xml:space="preserve">年   月   日 </w:t>
            </w:r>
          </w:p>
          <w:p w14:paraId="752579C0">
            <w:pPr>
              <w:spacing w:line="480" w:lineRule="exact"/>
              <w:rPr>
                <w:rFonts w:hint="default" w:ascii="方正仿宋_GBK" w:hAnsi="方正仿宋_GBK" w:eastAsia="方正仿宋_GBK" w:cs="方正仿宋_GBK"/>
                <w:bCs/>
                <w:color w:val="auto"/>
                <w:kern w:val="0"/>
                <w:sz w:val="24"/>
                <w:highlight w:val="none"/>
                <w:u w:val="single"/>
                <w:lang w:val="en-US" w:eastAsia="zh-CN"/>
              </w:rPr>
            </w:pPr>
          </w:p>
        </w:tc>
        <w:tc>
          <w:tcPr>
            <w:tcW w:w="4651" w:type="dxa"/>
            <w:noWrap w:val="0"/>
            <w:vAlign w:val="top"/>
          </w:tcPr>
          <w:p w14:paraId="3634FE63">
            <w:pPr>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val="en-US" w:eastAsia="zh-CN"/>
              </w:rPr>
              <w:t>签订日期</w:t>
            </w:r>
            <w:r>
              <w:rPr>
                <w:rFonts w:hint="eastAsia" w:ascii="方正仿宋_GBK" w:hAnsi="方正仿宋_GBK" w:eastAsia="方正仿宋_GBK" w:cs="方正仿宋_GBK"/>
                <w:bCs/>
                <w:color w:val="auto"/>
                <w:sz w:val="24"/>
                <w:highlight w:val="none"/>
              </w:rPr>
              <w:t>：</w:t>
            </w:r>
            <w:r>
              <w:rPr>
                <w:rFonts w:hint="eastAsia" w:ascii="方正仿宋_GBK" w:hAnsi="方正仿宋_GBK" w:eastAsia="方正仿宋_GBK" w:cs="方正仿宋_GBK"/>
                <w:bCs/>
                <w:color w:val="auto"/>
                <w:kern w:val="0"/>
                <w:sz w:val="24"/>
                <w:highlight w:val="none"/>
                <w:u w:val="none"/>
                <w:lang w:val="en-US" w:eastAsia="zh-CN"/>
              </w:rPr>
              <w:t>2025</w:t>
            </w:r>
            <w:r>
              <w:rPr>
                <w:rFonts w:hint="eastAsia" w:ascii="方正仿宋_GBK" w:hAnsi="方正仿宋_GBK" w:eastAsia="方正仿宋_GBK" w:cs="方正仿宋_GBK"/>
                <w:bCs/>
                <w:color w:val="auto"/>
                <w:kern w:val="0"/>
                <w:sz w:val="24"/>
                <w:highlight w:val="none"/>
                <w:u w:val="single"/>
                <w:lang w:val="en-US" w:eastAsia="zh-CN"/>
              </w:rPr>
              <w:t xml:space="preserve">年   月   日 </w:t>
            </w:r>
          </w:p>
        </w:tc>
      </w:tr>
    </w:tbl>
    <w:p w14:paraId="56248187">
      <w:pPr>
        <w:adjustRightInd w:val="0"/>
        <w:snapToGrid w:val="0"/>
        <w:spacing w:line="570" w:lineRule="exact"/>
        <w:ind w:firstLine="640" w:firstLineChars="200"/>
        <w:textAlignment w:val="baseline"/>
        <w:rPr>
          <w:color w:val="auto"/>
          <w:sz w:val="32"/>
          <w:szCs w:val="32"/>
        </w:rPr>
      </w:pPr>
    </w:p>
    <w:p w14:paraId="3F6D1081">
      <w:pPr>
        <w:adjustRightInd w:val="0"/>
        <w:snapToGrid w:val="0"/>
        <w:spacing w:line="600" w:lineRule="exact"/>
        <w:rPr>
          <w:color w:val="auto"/>
          <w:sz w:val="32"/>
          <w:szCs w:val="32"/>
        </w:rPr>
      </w:pPr>
      <w:r>
        <w:rPr>
          <w:color w:val="auto"/>
          <w:sz w:val="32"/>
          <w:szCs w:val="32"/>
        </w:rPr>
        <w:br w:type="page"/>
      </w:r>
      <w:r>
        <w:rPr>
          <w:rFonts w:ascii="方正黑体_GBK" w:hAnsi="方正黑体_GBK" w:eastAsia="方正黑体_GBK"/>
          <w:color w:val="auto"/>
          <w:sz w:val="32"/>
          <w:szCs w:val="32"/>
        </w:rPr>
        <w:t>附件</w:t>
      </w:r>
      <w:r>
        <w:rPr>
          <w:color w:val="auto"/>
          <w:sz w:val="32"/>
          <w:szCs w:val="32"/>
        </w:rPr>
        <w:t>2</w:t>
      </w:r>
    </w:p>
    <w:p w14:paraId="04E1C2CB">
      <w:pPr>
        <w:autoSpaceDE w:val="0"/>
        <w:autoSpaceDN w:val="0"/>
        <w:adjustRightInd w:val="0"/>
        <w:snapToGrid w:val="0"/>
        <w:spacing w:line="600" w:lineRule="exact"/>
        <w:ind w:right="240"/>
        <w:jc w:val="center"/>
        <w:rPr>
          <w:rFonts w:ascii="方正小标宋_GBK" w:hAnsi="方正小标宋_GBK" w:eastAsia="方正小标宋_GBK"/>
          <w:color w:val="auto"/>
          <w:sz w:val="44"/>
          <w:szCs w:val="44"/>
        </w:rPr>
      </w:pPr>
      <w:bookmarkStart w:id="417" w:name="_Hlk144718063"/>
      <w:r>
        <w:rPr>
          <w:rFonts w:ascii="方正小标宋_GBK" w:hAnsi="方正小标宋_GBK" w:eastAsia="方正小标宋_GBK"/>
          <w:color w:val="auto"/>
          <w:sz w:val="44"/>
          <w:szCs w:val="44"/>
        </w:rPr>
        <w:t>工程项目安全环保协议</w:t>
      </w:r>
      <w:bookmarkEnd w:id="417"/>
    </w:p>
    <w:p w14:paraId="2E07B8FA">
      <w:pPr>
        <w:adjustRightInd w:val="0"/>
        <w:snapToGrid w:val="0"/>
        <w:spacing w:line="600" w:lineRule="exact"/>
        <w:ind w:firstLine="640" w:firstLineChars="200"/>
        <w:rPr>
          <w:color w:val="auto"/>
          <w:sz w:val="32"/>
          <w:szCs w:val="32"/>
        </w:rPr>
      </w:pPr>
    </w:p>
    <w:p w14:paraId="54D3C3CB">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甲方：</w:t>
      </w:r>
      <w:r>
        <w:rPr>
          <w:rFonts w:hint="eastAsia" w:ascii="方正仿宋_GBK" w:hAnsi="方正仿宋_GBK" w:eastAsia="方正仿宋_GBK" w:cs="方正仿宋_GBK"/>
          <w:bCs/>
          <w:color w:val="auto"/>
          <w:sz w:val="24"/>
          <w:highlight w:val="none"/>
          <w:lang w:val="en-US" w:eastAsia="zh-CN"/>
        </w:rPr>
        <w:t xml:space="preserve"> </w:t>
      </w:r>
    </w:p>
    <w:p w14:paraId="5E4BB1B4">
      <w:pPr>
        <w:keepNext w:val="0"/>
        <w:keepLines w:val="0"/>
        <w:pageBreakBefore w:val="0"/>
        <w:widowControl w:val="0"/>
        <w:kinsoku/>
        <w:wordWrap/>
        <w:overflowPunct/>
        <w:topLinePunct w:val="0"/>
        <w:autoSpaceDE/>
        <w:autoSpaceDN/>
        <w:bidi w:val="0"/>
        <w:adjustRightInd/>
        <w:snapToGrid/>
        <w:spacing w:line="480" w:lineRule="exact"/>
        <w:ind w:left="1050" w:leftChars="200" w:hanging="630" w:hangingChars="300"/>
        <w:textAlignment w:val="auto"/>
        <w:rPr>
          <w:rFonts w:hint="default" w:ascii="方正仿宋_GBK" w:hAnsi="方正仿宋_GBK" w:eastAsia="方正仿宋_GBK" w:cs="方正仿宋_GBK"/>
          <w:bCs/>
          <w:color w:val="auto"/>
          <w:sz w:val="24"/>
          <w:highlight w:val="none"/>
          <w:lang w:val="en-US" w:eastAsia="zh-CN"/>
        </w:rPr>
      </w:pP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w:t>
      </w:r>
    </w:p>
    <w:p w14:paraId="41BB986B">
      <w:pPr>
        <w:adjustRightInd w:val="0"/>
        <w:snapToGrid w:val="0"/>
        <w:spacing w:line="600" w:lineRule="exact"/>
        <w:ind w:firstLine="640" w:firstLineChars="200"/>
        <w:rPr>
          <w:rFonts w:ascii="方正仿宋_GBK" w:hAnsi="方正仿宋_GBK"/>
          <w:color w:val="auto"/>
          <w:sz w:val="32"/>
          <w:szCs w:val="32"/>
        </w:rPr>
      </w:pPr>
    </w:p>
    <w:p w14:paraId="5FA6863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为加强工程项目安全文明施工和环境保护管理，依据国家和当地有关法律、法规、规章等有关规定和要求，甲乙双方在签订工程项目合同的同时，经协商一致，签订本协议。</w:t>
      </w:r>
    </w:p>
    <w:p w14:paraId="5F3F01EA">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一、工程概况</w:t>
      </w:r>
    </w:p>
    <w:p w14:paraId="2264305D">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olor w:val="auto"/>
          <w:szCs w:val="21"/>
          <w:u w:val="single"/>
          <w:lang w:eastAsia="zh-CN"/>
        </w:rPr>
      </w:pPr>
      <w:r>
        <w:rPr>
          <w:rFonts w:hint="eastAsia" w:ascii="宋体" w:hAnsi="宋体" w:eastAsia="宋体" w:cs="Times New Roman"/>
          <w:color w:val="auto"/>
          <w:szCs w:val="21"/>
          <w:highlight w:val="none"/>
        </w:rPr>
        <w:t>1．工程项目名称：</w:t>
      </w:r>
      <w:r>
        <w:rPr>
          <w:rFonts w:hint="eastAsia" w:ascii="宋体" w:hAnsi="宋体" w:eastAsia="宋体" w:cs="Times New Roman"/>
          <w:color w:val="auto"/>
          <w:szCs w:val="21"/>
          <w:highlight w:val="none"/>
          <w:u w:val="single"/>
          <w:lang w:val="en-US" w:eastAsia="zh-CN"/>
        </w:rPr>
        <w:t xml:space="preserve"> </w:t>
      </w:r>
    </w:p>
    <w:p w14:paraId="7ED6E304">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bCs/>
          <w:color w:val="auto"/>
          <w:szCs w:val="21"/>
        </w:rPr>
        <w:t>2.工程地点：</w:t>
      </w:r>
      <w:r>
        <w:rPr>
          <w:rFonts w:hint="eastAsia" w:ascii="宋体" w:hAnsi="宋体" w:eastAsia="宋体" w:cs="Times New Roman"/>
          <w:color w:val="auto"/>
          <w:szCs w:val="21"/>
          <w:highlight w:val="none"/>
          <w:u w:val="single"/>
          <w:lang w:val="en-US" w:eastAsia="zh-CN"/>
        </w:rPr>
        <w:t xml:space="preserve"> </w:t>
      </w:r>
    </w:p>
    <w:p w14:paraId="28F317DC">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bCs/>
          <w:color w:val="auto"/>
          <w:szCs w:val="21"/>
        </w:rPr>
      </w:pPr>
      <w:r>
        <w:rPr>
          <w:rFonts w:hint="eastAsia" w:ascii="宋体" w:hAnsi="宋体" w:eastAsia="宋体" w:cs="Times New Roman"/>
          <w:color w:val="auto"/>
          <w:szCs w:val="21"/>
          <w:highlight w:val="none"/>
        </w:rPr>
        <w:t>3．工程承包主要内容：</w:t>
      </w:r>
    </w:p>
    <w:p w14:paraId="3C8FB5B2">
      <w:pPr>
        <w:spacing w:line="360" w:lineRule="auto"/>
        <w:ind w:firstLine="420" w:firstLineChars="200"/>
        <w:rPr>
          <w:color w:val="auto"/>
          <w:sz w:val="32"/>
          <w:szCs w:val="32"/>
          <w:u w:val="single"/>
        </w:rPr>
      </w:pPr>
      <w:r>
        <w:rPr>
          <w:rFonts w:hint="eastAsia" w:ascii="宋体" w:hAnsi="宋体" w:eastAsia="宋体" w:cs="Times New Roman"/>
          <w:color w:val="auto"/>
          <w:szCs w:val="21"/>
          <w:highlight w:val="none"/>
        </w:rPr>
        <w:t>4．工程项目期限：</w:t>
      </w:r>
      <w:r>
        <w:rPr>
          <w:rFonts w:hint="eastAsia" w:ascii="宋体" w:hAnsi="宋体" w:eastAsia="宋体" w:cs="Times New Roman"/>
          <w:color w:val="auto"/>
          <w:szCs w:val="21"/>
          <w:highlight w:val="none"/>
          <w:u w:val="single"/>
        </w:rPr>
        <w:t>自</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rPr>
        <w:t xml:space="preserve"> 年 月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 xml:space="preserve"> 日 起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rPr>
        <w:t xml:space="preserve"> 年  月 日止</w:t>
      </w:r>
      <w:r>
        <w:rPr>
          <w:rFonts w:hint="eastAsia" w:ascii="宋体" w:hAnsi="宋体" w:eastAsia="宋体" w:cs="Times New Roman"/>
          <w:color w:val="auto"/>
          <w:szCs w:val="21"/>
          <w:highlight w:val="none"/>
        </w:rPr>
        <w:t>。</w:t>
      </w:r>
    </w:p>
    <w:p w14:paraId="77752025">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二、协议内容</w:t>
      </w:r>
    </w:p>
    <w:p w14:paraId="7383A8B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（一）安全文明施工与环境保护目标（事件/事故级别可根据项目要求明确）</w:t>
      </w:r>
    </w:p>
    <w:p w14:paraId="1929162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1．不发生重伤及以上人身伤亡事故，不发生电力安全事故、电力安全事件及设备障碍，不发生火灾事故以及在甲方现场发生同等及以上责任交通事故。</w:t>
      </w:r>
    </w:p>
    <w:p w14:paraId="73C96E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2．不发生突发环境事件，不发生违法排污责任事件或其他环境违法行为。</w:t>
      </w:r>
    </w:p>
    <w:p w14:paraId="4CA3F0B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3．符合安全生产、环境保护法律法规和标准规范的规定，达到甲方提出的现场安全环保文明施工要求。</w:t>
      </w:r>
    </w:p>
    <w:p w14:paraId="48E1F69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（二）甲方的安全文明和环境保护权利和义务</w:t>
      </w:r>
    </w:p>
    <w:p w14:paraId="7696DBB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1．甲方是工程项目的安全生产与环境保护的监管主体，负责工程项目安全生产和环境保护工作的统一协调、管理。</w:t>
      </w:r>
    </w:p>
    <w:p w14:paraId="5F542A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2．对乙方的安全资质、管理人员及作业人员的安全资格进行核查，对核查材料存档保管。乙方资质、资格不符合规定或提供虚假核查材料的，甲方有权要求乙方更换人员或终止合同，且不承担赔偿或补偿责任。</w:t>
      </w:r>
    </w:p>
    <w:p w14:paraId="51D7B98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组织工程项目施工前的安全技术交底，收集提供施工现场临近带电设备、地下管线等相关资料，并提出保护措施要求。向乙方的负责人、工程技术人员及相关管理人员环境保护技术交底，提出包括噪声、污水、扬尘与尾气排放、废弃物和垃圾分类管理等方面的环保要求。</w:t>
      </w:r>
    </w:p>
    <w:p w14:paraId="00655C5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4．根据要求对乙方组织相关安全教育培训，督促乙方对全体施工人员进行入场安全教育和安全知识考试，审查备案乙方安全教育记录和考试记录。</w:t>
      </w:r>
    </w:p>
    <w:p w14:paraId="404960D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5．对乙方安全文明生产费用计划进行审批，并根据施工进度及时、足额支付并监督专款专用；对乙方施工机械设备、工器具和安全防护设施进行监督。</w:t>
      </w:r>
    </w:p>
    <w:p w14:paraId="0AEA8D0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6．甲方在施工期间指派</w:t>
      </w:r>
      <w:r>
        <w:rPr>
          <w:rFonts w:hint="eastAsia" w:ascii="宋体" w:hAnsi="宋体" w:eastAsia="宋体" w:cs="Times New Roman"/>
          <w:color w:val="auto"/>
          <w:szCs w:val="21"/>
          <w:highlight w:val="none"/>
          <w:u w:val="single"/>
        </w:rPr>
        <w:t>__</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__</w:t>
      </w:r>
      <w:r>
        <w:rPr>
          <w:rFonts w:hint="eastAsia" w:ascii="宋体" w:hAnsi="宋体" w:eastAsia="宋体" w:cs="Times New Roman"/>
          <w:color w:val="auto"/>
          <w:szCs w:val="21"/>
          <w:highlight w:val="none"/>
        </w:rPr>
        <w:t>负责本项目的安全环保文明生产管理与监督。</w:t>
      </w:r>
    </w:p>
    <w:p w14:paraId="21D5330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7．组织现场安全环保监督检查，纠正违章行为，提出整改意见，进行考核。对查出施工中安全环保隐患整改不力的，有权要求乙方停工整顿或解除合同，相关责任由乙方承担。</w:t>
      </w:r>
    </w:p>
    <w:p w14:paraId="063855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（三）乙方的安全文明施工和环境保护权利和义务</w:t>
      </w:r>
    </w:p>
    <w:p w14:paraId="6039DEF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1．乙方是工程项目的安全环保施工责任主体，负责施工现场的安全生产管理、环境保护管理；服从甲方和监理对现场安全文明施工和环境保护的监督管理。乙方项目负责人为</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，乙方更换项目负责人或安全环保负责人需报甲方审批。</w:t>
      </w:r>
    </w:p>
    <w:p w14:paraId="7E101B3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乙方在甲方场地或甲方指定的场地提供服务过程中，严格执行国家和地方政府的相关法律法规要求，鉴于甲方已建立了安全生产和环境保护管理制度和规定，乙方在甲方场地提供服务期间，应遵守甲方的相关规定；若乙方是在甲方指定之第三方场地提供服务的，应同时遵守场地方的相关规定（如有）。</w:t>
      </w:r>
    </w:p>
    <w:p w14:paraId="1B51F18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3．按照国家、行业、地方有关规定和甲方要求提供本单位及人员的安全资质、资格证明材料，并对其真实性负责。</w:t>
      </w:r>
    </w:p>
    <w:p w14:paraId="1AE22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4．按照国家、行业、地方有关规定和甲方要求，编制并落实安全环保文明生产制度、操作规程；编制安全文明生产费用计划，并据实使用、专款专用，保证落实现场安全措施。</w:t>
      </w:r>
    </w:p>
    <w:p w14:paraId="7B11EA0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5．建立有效的安全与环保管理组织机构，按规定配备专（兼）职安全生产管理人员，确保安全管理人员、项目管理人员、特种作业人员等持有效证件上岗。</w:t>
      </w:r>
    </w:p>
    <w:p w14:paraId="5BB6C4C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工程开工前，乙方应开展现场勘查，编制施工组织设计、施工方案和安全环保技术措施并报甲方或甲方指定的第三方单位同意，安全技术措施中应明确验收要求。对于复杂自然条件、复杂结构、技术难度大及危险性较大的分部分项工程（以下简称“危大工程”）施工前编制专项施工方案，对超过一定规模的危大工程专项施工方案组织符合专业要求且持有专家证明的专家论证。危大工程严格落实《危险性较大的分部分项工程安全监督管理规定》（住房和城乡建设部令第37号）等相关安全管理规定。</w:t>
      </w:r>
    </w:p>
    <w:p w14:paraId="3FB195F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乙方应在作业现场设置防触电、防坠落、防火、防爆炸、防中毒、防扬撒、防流失、防渗漏等安全环保防护设施；防止或者减少粉尘、废气、废水、固体废物、噪声、振动和施工照明对人和环境的危害和污染，做到合规排放；防止有毒有害物品、危险品的泄漏、遗洒、挥发、扩散和随意丢弃；施工废物及时清运。</w:t>
      </w:r>
    </w:p>
    <w:p w14:paraId="322D08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指定工作负责人办理生产区域工作票许可手续，指定专职安全监护人并保证其在作业现场实行连续监护，严禁在无专人监护的情况下从事爆破、吊装、动火、临时用电、有限空间、高处作业、临近带电体作业等危险作业。</w:t>
      </w:r>
    </w:p>
    <w:p w14:paraId="6FD31FA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不得以任何形式转包和违法分包。建设工程实行施工总承包的，由总承包单位对施工现场的安全生产负总责；总承包单位应当自行完成建设工程主体结构的施工。如乙方拟将项目分包给其他单位，须征得甲方同意；乙方必须对分包单位的资质进行审查，乙方不得将项目分包给没有资质的单位；分包合同中应当明确各自的安全生产方面的权利、义务，同时必须与分包单位签订安全环保协议；分包单位应将劳务派遣人员、临时用工人员纳入其安全环保管理体系，加强作业现场管理和控制。乙方实行分包的，乙方仍对该项目的安全环保负总责，并对分包工程的安全环保承担连带责任。</w:t>
      </w:r>
    </w:p>
    <w:p w14:paraId="0DDF18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乙方聘请的在甲方场地或甲方指定的场地向甲方提供服务的员工必须符合国家劳动法规要求，有合法的用工手续并签订用工合同；为全体管理人员和施工人员（含分包单位人员）办理工伤保险和安全生产责任险等保险。配备合格、适用的工作服、安全帽、安全带、口罩、护目镜、手套等个人防护装备，并督促作业人员正确使用；着装、标识统一（须与甲方工作人员的着装、标识有所区别）；乙方人员进入甲方场地或其他特定场地（包括甲方指定的第三方场地），应同时遵守该场地的劳防用品佩戴规定（如有）。</w:t>
      </w:r>
    </w:p>
    <w:p w14:paraId="5E1E978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对甲方提供的设施设备、工具等是否能够满足预期的任务进行仔细检查和评估，合格方可使用。合理使用甲方提供的设施设备、工具等，对错误使用或不当使用甲方提供的设施设备、工具所造成的损失损害由乙方自行承担责任。</w:t>
      </w:r>
    </w:p>
    <w:p w14:paraId="64CD144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12．对全体管理人员和施工人员进行入场安全技术培训、教育，安全知识考试和每日危险源、环境因素的辨识活动，并保存相关记录备查，考试不合格者不得入场工作。</w:t>
      </w:r>
    </w:p>
    <w:p w14:paraId="51CB47D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组织施工现场安全环保隐患排查治理；接受甲方和/或甲方指定第三方的安全、环保、防火、治安等的监督检查和管理，认真落实提出的隐患（不符合）整改意见，在规定期限内完成整改并报甲方和监理单位复核验证。</w:t>
      </w:r>
    </w:p>
    <w:p w14:paraId="17657E3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发生人员伤亡、职业危害、设备财产损失、火灾事故、交通事故、突发环境事件的，现场人员应立即报告本单位负责人、监理负责人和甲方负责人；按国务院及地方政府有关事故报告规定及时报告政府监管部门；同时启动现场应急预案（或处置措施），抢救伤员，控制事故，保护现场，接受事故调查处理。</w:t>
      </w:r>
    </w:p>
    <w:p w14:paraId="3C8DB38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15．不得擅自变更或改变甲方或甲方指定第三方所提供厂房、办公场地、电力线路以及设施设备的建筑结构和用途、使用性质等。若需搭建临时设施时必须事先经过甲方和甲方指定第三方（当乙方在甲方指定的第三方场地提供现场服务时）的书面同意。 </w:t>
      </w:r>
    </w:p>
    <w:p w14:paraId="0A24C1B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16．未经甲方（或甲方指定之第三方）许可，不得擅自将电气设备接入甲方（或甲方指定之第三方）的电气线路。如有违反，乙方承担由此产生的一切损失，并赔偿甲方和/或甲方指定之第三方因该违规行为所遭受的损失。</w:t>
      </w:r>
    </w:p>
    <w:p w14:paraId="42A075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17．只有在得到甲方（及甲方指定之第三方)同意后才能携带危险化学品进入甲方场地（或甲方之指定第三方场地）。</w:t>
      </w:r>
    </w:p>
    <w:p w14:paraId="079358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18．乙方在施工或服务过程中的噪声排放应符合国家及地方法律法规、标准及甲方相关管理要求。</w:t>
      </w:r>
    </w:p>
    <w:p w14:paraId="5B8F1A5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19．建设项目未正式移交甲方前，乙方应负责施工过程中产生的建筑垃圾和其他废弃物的处置，相关废弃物的收集、贮存、运输和处置必须符合国家、地方法律法规及甲方环境管理要求。</w:t>
      </w:r>
    </w:p>
    <w:p w14:paraId="1118F1F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20．有权对甲方或甲方指定的第三方单位在施工安全环保管理工作中存在的问题提出改进意见，有权拒绝违章指挥和强令冒险作业。</w:t>
      </w:r>
    </w:p>
    <w:p w14:paraId="15CAAEC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（四）安全文明生产及环境保护考核标准</w:t>
      </w:r>
    </w:p>
    <w:p w14:paraId="700B2D6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1．由于乙方责任造成甲方或第三方的人身伤害、设备损坏等财产损失，由乙方承担一切经济损失和违约责任。</w:t>
      </w:r>
    </w:p>
    <w:p w14:paraId="5784A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2．由于乙方原因发生安全环保事故（事件）的，由乙方支付甲方违约金，并赔偿甲方因此遭受的损失，甲方有权在合同结算时扣减。违约金支付标准如下：</w:t>
      </w:r>
    </w:p>
    <w:p w14:paraId="727E4EE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（1）发生人身轻伤事件，每人次支付</w:t>
      </w:r>
      <w:r>
        <w:rPr>
          <w:rFonts w:hint="eastAsia" w:ascii="宋体" w:hAnsi="宋体" w:eastAsia="宋体" w:cs="Times New Roman"/>
          <w:color w:val="auto"/>
          <w:szCs w:val="21"/>
          <w:highlight w:val="none"/>
          <w:u w:val="single"/>
        </w:rPr>
        <w:t>1万元</w:t>
      </w:r>
      <w:r>
        <w:rPr>
          <w:rFonts w:hint="eastAsia" w:ascii="宋体" w:hAnsi="宋体" w:eastAsia="宋体" w:cs="Times New Roman"/>
          <w:color w:val="auto"/>
          <w:szCs w:val="21"/>
          <w:highlight w:val="none"/>
        </w:rPr>
        <w:t>（不低于1万元或按合同款比例）违约金；发生人身重伤事故，每人次支付</w:t>
      </w:r>
      <w:r>
        <w:rPr>
          <w:rFonts w:hint="eastAsia" w:ascii="宋体" w:hAnsi="宋体" w:eastAsia="宋体" w:cs="Times New Roman"/>
          <w:color w:val="auto"/>
          <w:szCs w:val="21"/>
          <w:highlight w:val="none"/>
          <w:u w:val="single"/>
        </w:rPr>
        <w:t>5万元（</w:t>
      </w:r>
      <w:r>
        <w:rPr>
          <w:rFonts w:hint="eastAsia" w:ascii="宋体" w:hAnsi="宋体" w:eastAsia="宋体" w:cs="Times New Roman"/>
          <w:color w:val="auto"/>
          <w:szCs w:val="21"/>
          <w:highlight w:val="none"/>
        </w:rPr>
        <w:t>不低于5万元或按合同款比例）违约金；发生人身死亡事故，每人次支付</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color w:val="auto"/>
          <w:szCs w:val="21"/>
          <w:highlight w:val="none"/>
          <w:u w:val="single"/>
        </w:rPr>
        <w:t>万元</w:t>
      </w:r>
      <w:r>
        <w:rPr>
          <w:rFonts w:hint="eastAsia" w:ascii="宋体" w:hAnsi="宋体" w:eastAsia="宋体" w:cs="Times New Roman"/>
          <w:color w:val="auto"/>
          <w:szCs w:val="21"/>
          <w:highlight w:val="none"/>
        </w:rPr>
        <w:t>（不低于10万元或按合同款比例）违约金（可按行业或属地管理，不低于此标准，下同）。</w:t>
      </w:r>
    </w:p>
    <w:p w14:paraId="6BF52E8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（2）发生一般级别的设备事故、电力安全事故、火灾事故、突发环境事件的，每次支付</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10 </w:t>
      </w:r>
      <w:r>
        <w:rPr>
          <w:rFonts w:hint="eastAsia" w:ascii="宋体" w:hAnsi="宋体" w:eastAsia="宋体" w:cs="Times New Roman"/>
          <w:color w:val="auto"/>
          <w:szCs w:val="21"/>
          <w:highlight w:val="none"/>
          <w:u w:val="single"/>
        </w:rPr>
        <w:t xml:space="preserve">万元   </w:t>
      </w:r>
      <w:r>
        <w:rPr>
          <w:rFonts w:hint="eastAsia" w:ascii="宋体" w:hAnsi="宋体" w:eastAsia="宋体" w:cs="Times New Roman"/>
          <w:color w:val="auto"/>
          <w:szCs w:val="21"/>
          <w:highlight w:val="none"/>
        </w:rPr>
        <w:t>（不低于10万元或按合同款比例)违约金；发生较大及以上级别的，每次支付</w:t>
      </w:r>
      <w:r>
        <w:rPr>
          <w:rFonts w:hint="eastAsia" w:ascii="宋体" w:hAnsi="宋体" w:eastAsia="宋体" w:cs="Times New Roman"/>
          <w:color w:val="auto"/>
          <w:szCs w:val="21"/>
          <w:highlight w:val="none"/>
          <w:u w:val="single"/>
        </w:rPr>
        <w:t xml:space="preserve">   20万元  </w:t>
      </w:r>
      <w:r>
        <w:rPr>
          <w:rFonts w:hint="eastAsia" w:ascii="宋体" w:hAnsi="宋体" w:eastAsia="宋体" w:cs="Times New Roman"/>
          <w:color w:val="auto"/>
          <w:szCs w:val="21"/>
          <w:highlight w:val="none"/>
        </w:rPr>
        <w:t>（不低于20万元或按合同款比例）违约金。</w:t>
      </w:r>
    </w:p>
    <w:p w14:paraId="69897D1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（3）发生安全环保事故（事件）后违约金支付金额超过合同金额的，以合同金额为限支付；乙方存在瞒报、谎报、迟报、漏报等情形的，加重处罚；重复发生上述事故（事件）的，甲方保留加倍处罚的权利。</w:t>
      </w:r>
    </w:p>
    <w:p w14:paraId="3D3486D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（4）其他安全文明生产及环境保护考核标准和要求，按本协议附件：《安全环保管理补充规定》执行。</w:t>
      </w:r>
    </w:p>
    <w:p w14:paraId="2F7A3AB8">
      <w:pPr>
        <w:spacing w:line="360" w:lineRule="auto"/>
        <w:ind w:firstLine="420" w:firstLineChars="200"/>
        <w:rPr>
          <w:rFonts w:ascii="方正楷体_GBK" w:hAnsi="方正楷体_GBK" w:eastAsia="方正楷体_GBK"/>
          <w:color w:val="auto"/>
          <w:sz w:val="32"/>
          <w:szCs w:val="32"/>
        </w:rPr>
      </w:pPr>
      <w:r>
        <w:rPr>
          <w:rFonts w:hint="eastAsia" w:ascii="宋体" w:hAnsi="宋体" w:eastAsia="宋体" w:cs="Times New Roman"/>
          <w:color w:val="auto"/>
          <w:szCs w:val="21"/>
          <w:highlight w:val="none"/>
        </w:rPr>
        <w:t xml:space="preserve">（五）需要补充协议内容：  </w:t>
      </w:r>
      <w:r>
        <w:rPr>
          <w:rFonts w:ascii="方正楷体_GBK" w:hAnsi="方正楷体_GBK" w:eastAsia="方正楷体_GBK"/>
          <w:color w:val="auto"/>
          <w:sz w:val="32"/>
          <w:szCs w:val="32"/>
          <w:u w:val="single"/>
        </w:rPr>
        <w:t xml:space="preserve">              </w:t>
      </w:r>
    </w:p>
    <w:p w14:paraId="7E6FC17E">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三、附则</w:t>
      </w:r>
    </w:p>
    <w:p w14:paraId="4BB0D6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1．本协议作为工程项目合同的附件，与之具有同等法律效力，</w:t>
      </w:r>
      <w:bookmarkStart w:id="418" w:name="_Hlk141655699"/>
      <w:r>
        <w:rPr>
          <w:rFonts w:hint="eastAsia" w:ascii="宋体" w:hAnsi="宋体" w:eastAsia="宋体" w:cs="Times New Roman"/>
          <w:color w:val="auto"/>
          <w:szCs w:val="21"/>
          <w:highlight w:val="none"/>
        </w:rPr>
        <w:t>自甲乙双方签字盖章之日起生效</w:t>
      </w:r>
      <w:bookmarkEnd w:id="418"/>
      <w:r>
        <w:rPr>
          <w:rFonts w:hint="eastAsia" w:ascii="宋体" w:hAnsi="宋体" w:eastAsia="宋体" w:cs="Times New Roman"/>
          <w:color w:val="auto"/>
          <w:szCs w:val="21"/>
          <w:highlight w:val="none"/>
        </w:rPr>
        <w:t>，如工程项目延迟，本协议自动续延。协议期限至双方确定项目工程施工完毕，人员、材料、工器具全部撤出现场，履行完本协议规定的全部义务为止。</w:t>
      </w:r>
    </w:p>
    <w:p w14:paraId="1DE00B3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2．本协议附件：《安全环保管理补充规定》，是本协议不可分割的组成部分，与本协议共同构成本协议主体之完整协议。</w:t>
      </w:r>
    </w:p>
    <w:p w14:paraId="791C6D9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3．甲方对于乙方施工方案的审批、各类申请的批准不涉及任何安全责任上的承担，乙方在合同规定下的以及依法承担的安全责任不因此而转移至甲方。</w:t>
      </w:r>
    </w:p>
    <w:p w14:paraId="1077E9F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4．甲乙双方应严格按照本协议规定的各项条款，承担相应的安全文明施工、环境保护管理责任。因违反本协议和国家有关法律法规、标准规范造成的安全事故或环境影响事件，由违约方承担相应的责任。</w:t>
      </w:r>
    </w:p>
    <w:p w14:paraId="63C47CE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5．本协议一式四份，由甲方、乙方各持两份。</w:t>
      </w:r>
    </w:p>
    <w:p w14:paraId="7EC348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p>
    <w:p w14:paraId="4A1269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r>
        <w:rPr>
          <w:rFonts w:hint="eastAsia" w:ascii="宋体" w:hAnsi="宋体"/>
          <w:bCs/>
          <w:color w:val="auto"/>
          <w:szCs w:val="21"/>
        </w:rPr>
        <w:t>（以下为签字盖章页）。</w:t>
      </w:r>
    </w:p>
    <w:p w14:paraId="1FD8BB98">
      <w:pPr>
        <w:adjustRightInd w:val="0"/>
        <w:snapToGrid w:val="0"/>
        <w:spacing w:line="600" w:lineRule="exact"/>
        <w:rPr>
          <w:rFonts w:hint="eastAsia"/>
          <w:color w:val="auto"/>
          <w:sz w:val="32"/>
          <w:szCs w:val="32"/>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728"/>
        <w:gridCol w:w="4651"/>
      </w:tblGrid>
      <w:tr w14:paraId="3869855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83" w:hRule="atLeast"/>
          <w:jc w:val="center"/>
        </w:trPr>
        <w:tc>
          <w:tcPr>
            <w:tcW w:w="4728" w:type="dxa"/>
            <w:noWrap w:val="0"/>
            <w:vAlign w:val="center"/>
          </w:tcPr>
          <w:p w14:paraId="4C3B61D5">
            <w:pPr>
              <w:widowControl/>
              <w:spacing w:line="36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lang w:val="en-US" w:eastAsia="zh-CN"/>
              </w:rPr>
              <w:t>甲</w:t>
            </w:r>
            <w:r>
              <w:rPr>
                <w:rFonts w:hint="eastAsia" w:ascii="方正仿宋_GBK" w:hAnsi="方正仿宋_GBK" w:eastAsia="方正仿宋_GBK" w:cs="方正仿宋_GBK"/>
                <w:b/>
                <w:color w:val="auto"/>
                <w:sz w:val="24"/>
                <w:highlight w:val="none"/>
              </w:rPr>
              <w:t xml:space="preserve">      方</w:t>
            </w:r>
          </w:p>
        </w:tc>
        <w:tc>
          <w:tcPr>
            <w:tcW w:w="4651" w:type="dxa"/>
            <w:noWrap w:val="0"/>
            <w:vAlign w:val="center"/>
          </w:tcPr>
          <w:p w14:paraId="01529272">
            <w:pPr>
              <w:widowControl/>
              <w:spacing w:line="36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lang w:val="en-US" w:eastAsia="zh-CN"/>
              </w:rPr>
              <w:t>乙</w:t>
            </w:r>
            <w:r>
              <w:rPr>
                <w:rFonts w:hint="eastAsia" w:ascii="方正仿宋_GBK" w:hAnsi="方正仿宋_GBK" w:eastAsia="方正仿宋_GBK" w:cs="方正仿宋_GBK"/>
                <w:b/>
                <w:color w:val="auto"/>
                <w:sz w:val="24"/>
                <w:highlight w:val="none"/>
              </w:rPr>
              <w:t xml:space="preserve">      方</w:t>
            </w:r>
          </w:p>
        </w:tc>
      </w:tr>
      <w:tr w14:paraId="4479492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333" w:hRule="atLeast"/>
          <w:jc w:val="center"/>
        </w:trPr>
        <w:tc>
          <w:tcPr>
            <w:tcW w:w="4728" w:type="dxa"/>
            <w:noWrap w:val="0"/>
            <w:vAlign w:val="top"/>
          </w:tcPr>
          <w:p w14:paraId="75C7670B">
            <w:pPr>
              <w:keepNext w:val="0"/>
              <w:keepLines w:val="0"/>
              <w:pageBreakBefore w:val="0"/>
              <w:widowControl w:val="0"/>
              <w:kinsoku/>
              <w:wordWrap/>
              <w:overflowPunct/>
              <w:topLinePunct w:val="0"/>
              <w:autoSpaceDE/>
              <w:autoSpaceDN/>
              <w:bidi w:val="0"/>
              <w:adjustRightInd/>
              <w:snapToGrid/>
              <w:spacing w:line="480" w:lineRule="exact"/>
              <w:ind w:left="1200" w:leftChars="0" w:hanging="1200" w:hangingChars="500"/>
              <w:textAlignment w:val="auto"/>
              <w:rPr>
                <w:rFonts w:hint="eastAsia" w:ascii="方正仿宋_GBK" w:hAnsi="方正仿宋_GBK" w:eastAsia="方正仿宋_GBK" w:cs="方正仿宋_GBK"/>
                <w:bCs/>
                <w:color w:val="auto"/>
                <w:sz w:val="24"/>
                <w:highlight w:val="none"/>
                <w:lang w:eastAsia="zh-CN"/>
              </w:rPr>
            </w:pPr>
            <w:r>
              <w:rPr>
                <w:rFonts w:hint="eastAsia" w:ascii="方正仿宋_GBK" w:hAnsi="方正仿宋_GBK" w:eastAsia="方正仿宋_GBK" w:cs="方正仿宋_GBK"/>
                <w:bCs/>
                <w:color w:val="auto"/>
                <w:sz w:val="24"/>
                <w:highlight w:val="none"/>
              </w:rPr>
              <w:t>单位（公章）：</w:t>
            </w:r>
          </w:p>
        </w:tc>
        <w:tc>
          <w:tcPr>
            <w:tcW w:w="4651" w:type="dxa"/>
            <w:noWrap w:val="0"/>
            <w:vAlign w:val="top"/>
          </w:tcPr>
          <w:p w14:paraId="0C6CED04">
            <w:pPr>
              <w:spacing w:line="480" w:lineRule="exact"/>
              <w:ind w:left="1440" w:leftChars="0" w:hanging="1440" w:hangingChars="600"/>
              <w:rPr>
                <w:rFonts w:hint="eastAsia" w:ascii="方正仿宋_GBK" w:hAnsi="方正仿宋_GBK" w:eastAsia="方正仿宋_GBK" w:cs="方正仿宋_GBK"/>
                <w:bCs/>
                <w:color w:val="auto"/>
                <w:sz w:val="24"/>
                <w:highlight w:val="none"/>
                <w:lang w:eastAsia="zh-CN"/>
              </w:rPr>
            </w:pPr>
            <w:r>
              <w:rPr>
                <w:rFonts w:hint="eastAsia" w:ascii="方正仿宋_GBK" w:hAnsi="方正仿宋_GBK" w:eastAsia="方正仿宋_GBK" w:cs="方正仿宋_GBK"/>
                <w:bCs/>
                <w:color w:val="auto"/>
                <w:sz w:val="24"/>
                <w:highlight w:val="none"/>
              </w:rPr>
              <w:t>单位（公章）：</w:t>
            </w:r>
          </w:p>
        </w:tc>
      </w:tr>
      <w:tr w14:paraId="322FF3A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91" w:hRule="atLeast"/>
          <w:jc w:val="center"/>
        </w:trPr>
        <w:tc>
          <w:tcPr>
            <w:tcW w:w="4728" w:type="dxa"/>
            <w:noWrap w:val="0"/>
            <w:vAlign w:val="top"/>
          </w:tcPr>
          <w:p w14:paraId="695BEF09">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法定代表人或</w:t>
            </w:r>
          </w:p>
        </w:tc>
        <w:tc>
          <w:tcPr>
            <w:tcW w:w="4651" w:type="dxa"/>
            <w:noWrap w:val="0"/>
            <w:vAlign w:val="top"/>
          </w:tcPr>
          <w:p w14:paraId="221EE373">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法定代表人或</w:t>
            </w:r>
          </w:p>
        </w:tc>
      </w:tr>
      <w:tr w14:paraId="057B6280">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30" w:hRule="atLeast"/>
          <w:jc w:val="center"/>
        </w:trPr>
        <w:tc>
          <w:tcPr>
            <w:tcW w:w="4728" w:type="dxa"/>
            <w:noWrap w:val="0"/>
            <w:vAlign w:val="top"/>
          </w:tcPr>
          <w:p w14:paraId="31DB9922">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 xml:space="preserve">其授权代表（签名）： </w:t>
            </w:r>
          </w:p>
        </w:tc>
        <w:tc>
          <w:tcPr>
            <w:tcW w:w="4651" w:type="dxa"/>
            <w:noWrap w:val="0"/>
            <w:vAlign w:val="top"/>
          </w:tcPr>
          <w:p w14:paraId="71DAB90F">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 xml:space="preserve">其授权代表（签名）： </w:t>
            </w:r>
          </w:p>
        </w:tc>
      </w:tr>
      <w:tr w14:paraId="4655626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0" w:hRule="atLeast"/>
          <w:jc w:val="center"/>
        </w:trPr>
        <w:tc>
          <w:tcPr>
            <w:tcW w:w="4728" w:type="dxa"/>
            <w:noWrap w:val="0"/>
            <w:vAlign w:val="center"/>
          </w:tcPr>
          <w:p w14:paraId="6B8325BE">
            <w:pPr>
              <w:spacing w:line="480" w:lineRule="exact"/>
              <w:rPr>
                <w:rFonts w:hint="eastAsia" w:ascii="方正仿宋_GBK" w:hAnsi="方正仿宋_GBK" w:eastAsia="方正仿宋_GBK" w:cs="方正仿宋_GBK"/>
                <w:bCs/>
                <w:color w:val="auto"/>
                <w:kern w:val="0"/>
                <w:sz w:val="24"/>
                <w:highlight w:val="none"/>
                <w:u w:val="single"/>
                <w:lang w:val="en-US" w:eastAsia="zh-CN"/>
              </w:rPr>
            </w:pPr>
            <w:r>
              <w:rPr>
                <w:rFonts w:hint="eastAsia" w:ascii="方正仿宋_GBK" w:hAnsi="方正仿宋_GBK" w:eastAsia="方正仿宋_GBK" w:cs="方正仿宋_GBK"/>
                <w:bCs/>
                <w:color w:val="auto"/>
                <w:sz w:val="24"/>
                <w:highlight w:val="none"/>
                <w:lang w:val="en-US" w:eastAsia="zh-CN"/>
              </w:rPr>
              <w:t>签订日期</w:t>
            </w:r>
            <w:r>
              <w:rPr>
                <w:rFonts w:hint="eastAsia" w:ascii="方正仿宋_GBK" w:hAnsi="方正仿宋_GBK" w:eastAsia="方正仿宋_GBK" w:cs="方正仿宋_GBK"/>
                <w:bCs/>
                <w:color w:val="auto"/>
                <w:sz w:val="24"/>
                <w:highlight w:val="none"/>
              </w:rPr>
              <w:t>：</w:t>
            </w:r>
            <w:r>
              <w:rPr>
                <w:rFonts w:hint="eastAsia" w:ascii="方正仿宋_GBK" w:hAnsi="方正仿宋_GBK" w:eastAsia="方正仿宋_GBK" w:cs="方正仿宋_GBK"/>
                <w:bCs/>
                <w:color w:val="auto"/>
                <w:kern w:val="0"/>
                <w:sz w:val="24"/>
                <w:highlight w:val="none"/>
                <w:u w:val="none"/>
                <w:lang w:val="en-US" w:eastAsia="zh-CN"/>
              </w:rPr>
              <w:t>2025</w:t>
            </w:r>
            <w:r>
              <w:rPr>
                <w:rFonts w:hint="eastAsia" w:ascii="方正仿宋_GBK" w:hAnsi="方正仿宋_GBK" w:eastAsia="方正仿宋_GBK" w:cs="方正仿宋_GBK"/>
                <w:bCs/>
                <w:color w:val="auto"/>
                <w:kern w:val="0"/>
                <w:sz w:val="24"/>
                <w:highlight w:val="none"/>
                <w:u w:val="single"/>
                <w:lang w:val="en-US" w:eastAsia="zh-CN"/>
              </w:rPr>
              <w:t xml:space="preserve">年   月   日 </w:t>
            </w:r>
          </w:p>
          <w:p w14:paraId="7A1ACB65">
            <w:pPr>
              <w:spacing w:line="480" w:lineRule="exact"/>
              <w:rPr>
                <w:rFonts w:hint="default" w:ascii="方正仿宋_GBK" w:hAnsi="方正仿宋_GBK" w:eastAsia="方正仿宋_GBK" w:cs="方正仿宋_GBK"/>
                <w:bCs/>
                <w:color w:val="auto"/>
                <w:kern w:val="0"/>
                <w:sz w:val="24"/>
                <w:highlight w:val="none"/>
                <w:u w:val="single"/>
                <w:lang w:val="en-US" w:eastAsia="zh-CN"/>
              </w:rPr>
            </w:pPr>
          </w:p>
        </w:tc>
        <w:tc>
          <w:tcPr>
            <w:tcW w:w="4651" w:type="dxa"/>
            <w:noWrap w:val="0"/>
            <w:vAlign w:val="top"/>
          </w:tcPr>
          <w:p w14:paraId="75C467D7">
            <w:pPr>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val="en-US" w:eastAsia="zh-CN"/>
              </w:rPr>
              <w:t>签订日期</w:t>
            </w:r>
            <w:r>
              <w:rPr>
                <w:rFonts w:hint="eastAsia" w:ascii="方正仿宋_GBK" w:hAnsi="方正仿宋_GBK" w:eastAsia="方正仿宋_GBK" w:cs="方正仿宋_GBK"/>
                <w:bCs/>
                <w:color w:val="auto"/>
                <w:sz w:val="24"/>
                <w:highlight w:val="none"/>
              </w:rPr>
              <w:t>：</w:t>
            </w:r>
            <w:r>
              <w:rPr>
                <w:rFonts w:hint="eastAsia" w:ascii="方正仿宋_GBK" w:hAnsi="方正仿宋_GBK" w:eastAsia="方正仿宋_GBK" w:cs="方正仿宋_GBK"/>
                <w:bCs/>
                <w:color w:val="auto"/>
                <w:kern w:val="0"/>
                <w:sz w:val="24"/>
                <w:highlight w:val="none"/>
                <w:u w:val="none"/>
                <w:lang w:val="en-US" w:eastAsia="zh-CN"/>
              </w:rPr>
              <w:t>2025</w:t>
            </w:r>
            <w:r>
              <w:rPr>
                <w:rFonts w:hint="eastAsia" w:ascii="方正仿宋_GBK" w:hAnsi="方正仿宋_GBK" w:eastAsia="方正仿宋_GBK" w:cs="方正仿宋_GBK"/>
                <w:bCs/>
                <w:color w:val="auto"/>
                <w:kern w:val="0"/>
                <w:sz w:val="24"/>
                <w:highlight w:val="none"/>
                <w:u w:val="single"/>
                <w:lang w:val="en-US" w:eastAsia="zh-CN"/>
              </w:rPr>
              <w:t xml:space="preserve">年   月   日 </w:t>
            </w:r>
          </w:p>
        </w:tc>
      </w:tr>
    </w:tbl>
    <w:p w14:paraId="1858E951">
      <w:pPr>
        <w:autoSpaceDE w:val="0"/>
        <w:autoSpaceDN w:val="0"/>
        <w:adjustRightInd w:val="0"/>
        <w:snapToGrid w:val="0"/>
        <w:spacing w:line="600" w:lineRule="exact"/>
        <w:rPr>
          <w:rFonts w:hint="eastAsia"/>
          <w:bCs/>
          <w:color w:val="auto"/>
          <w:sz w:val="32"/>
          <w:szCs w:val="32"/>
        </w:rPr>
      </w:pPr>
      <w:r>
        <w:rPr>
          <w:rFonts w:ascii="方正黑体_GBK" w:hAnsi="方正黑体_GBK" w:eastAsia="方正黑体_GBK"/>
          <w:bCs/>
          <w:color w:val="auto"/>
          <w:sz w:val="32"/>
          <w:szCs w:val="32"/>
        </w:rPr>
        <w:br w:type="page"/>
      </w:r>
      <w:r>
        <w:rPr>
          <w:rFonts w:ascii="方正黑体_GBK" w:hAnsi="方正黑体_GBK" w:eastAsia="方正黑体_GBK"/>
          <w:bCs/>
          <w:color w:val="auto"/>
          <w:sz w:val="32"/>
          <w:szCs w:val="32"/>
        </w:rPr>
        <w:t>附件</w:t>
      </w:r>
      <w:r>
        <w:rPr>
          <w:rFonts w:hint="eastAsia" w:ascii="方正黑体_GBK" w:hAnsi="方正黑体_GBK" w:eastAsia="方正黑体_GBK"/>
          <w:bCs/>
          <w:color w:val="auto"/>
          <w:sz w:val="32"/>
          <w:szCs w:val="32"/>
          <w:lang w:val="en-US" w:eastAsia="zh-CN"/>
        </w:rPr>
        <w:t>2</w:t>
      </w:r>
      <w:r>
        <w:rPr>
          <w:bCs/>
          <w:color w:val="auto"/>
          <w:sz w:val="32"/>
          <w:szCs w:val="32"/>
        </w:rPr>
        <w:t>-1</w:t>
      </w:r>
    </w:p>
    <w:p w14:paraId="7F70E3AB">
      <w:pPr>
        <w:autoSpaceDE w:val="0"/>
        <w:autoSpaceDN w:val="0"/>
        <w:adjustRightInd w:val="0"/>
        <w:snapToGrid w:val="0"/>
        <w:spacing w:line="600" w:lineRule="exact"/>
        <w:rPr>
          <w:color w:val="auto"/>
          <w:sz w:val="32"/>
          <w:szCs w:val="32"/>
        </w:rPr>
      </w:pPr>
    </w:p>
    <w:p w14:paraId="0088C66A">
      <w:pPr>
        <w:tabs>
          <w:tab w:val="left" w:pos="3694"/>
        </w:tabs>
        <w:adjustRightInd w:val="0"/>
        <w:snapToGrid w:val="0"/>
        <w:spacing w:line="600" w:lineRule="exact"/>
        <w:jc w:val="center"/>
        <w:rPr>
          <w:rFonts w:ascii="方正小标宋_GBK" w:hAnsi="方正小标宋_GBK" w:eastAsia="方正小标宋_GBK"/>
          <w:color w:val="auto"/>
          <w:sz w:val="44"/>
          <w:szCs w:val="44"/>
        </w:rPr>
      </w:pPr>
      <w:r>
        <w:rPr>
          <w:rFonts w:ascii="方正小标宋_GBK" w:hAnsi="方正小标宋_GBK" w:eastAsia="方正小标宋_GBK"/>
          <w:color w:val="auto"/>
          <w:sz w:val="44"/>
          <w:szCs w:val="44"/>
        </w:rPr>
        <w:t>安全环保管理补充规定</w:t>
      </w:r>
    </w:p>
    <w:p w14:paraId="0F813B3C">
      <w:pPr>
        <w:autoSpaceDE w:val="0"/>
        <w:autoSpaceDN w:val="0"/>
        <w:adjustRightInd w:val="0"/>
        <w:snapToGrid w:val="0"/>
        <w:spacing w:line="600" w:lineRule="exact"/>
        <w:rPr>
          <w:color w:val="auto"/>
          <w:sz w:val="32"/>
          <w:szCs w:val="32"/>
        </w:rPr>
      </w:pPr>
    </w:p>
    <w:p w14:paraId="710A99B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为强化乙方承担甲方委托施工或服务项目的安全环保管理，规范双方在工作过程中的安全环保行为，保障甲方的工作现场安全和环境保护，经过甲、乙双方充分协商，就工程项目安全环保管理达成以下补充规定：</w:t>
      </w:r>
    </w:p>
    <w:p w14:paraId="354278CF">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1．安全环保责任制管理</w:t>
      </w:r>
    </w:p>
    <w:p w14:paraId="063B677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1.1乙方应建立安全环保责任制，明确各级人员安全环保职责。</w:t>
      </w:r>
    </w:p>
    <w:p w14:paraId="0FFE04D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1.2乙方应与其分包单位签订分包安全环保管理协议，明确职责。</w:t>
      </w:r>
    </w:p>
    <w:p w14:paraId="44CCB10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1.3乙方应对其分包单位进行安全技术交底，阐明甲方的安全要求。</w:t>
      </w:r>
    </w:p>
    <w:p w14:paraId="15C72E1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1.4乙方应禁止施工单位领导或管理人员强令施工人员违章冒险作业。</w:t>
      </w:r>
    </w:p>
    <w:p w14:paraId="36803FA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乙方违反1.1、1.2款应支付违约金5000元；违反1.3款应支付违约金2000元；违反1.4款应支付违约金5000元。</w:t>
      </w:r>
    </w:p>
    <w:p w14:paraId="011CBE15">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2．人员管理</w:t>
      </w:r>
    </w:p>
    <w:p w14:paraId="0F0D4F0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2.1乙方特种作业人员及其他有资质要求的人员须持有效证件操作上岗。</w:t>
      </w:r>
    </w:p>
    <w:p w14:paraId="340744A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2.2乙方所有人员不得伪造、仿造、涂改、转借甲方颁发的各类证件、文件、审批单（许可）。</w:t>
      </w:r>
    </w:p>
    <w:p w14:paraId="7EBFC08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2.3乙方应保证对其所有人员进行三级安全教育、安全技术交底和考核，考核合格后方可上岗，保留相应记录。</w:t>
      </w:r>
    </w:p>
    <w:p w14:paraId="311CE1B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2.4乙方现场作业人员必须经过相关工种及专项施工安全培训。</w:t>
      </w:r>
    </w:p>
    <w:p w14:paraId="5B5DEA7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2.5乙方应为其从业人员办理和缴纳工伤社会保险和安全生产责任保险或意外伤害保险。</w:t>
      </w:r>
    </w:p>
    <w:p w14:paraId="6B374E3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乙方违反2.1～2.4款应支付违约金2000元；违反2.5款应支付违约金5000元。</w:t>
      </w:r>
    </w:p>
    <w:p w14:paraId="0379FB4E">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3．施工和服务的文明管理</w:t>
      </w:r>
    </w:p>
    <w:p w14:paraId="3F86A1F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3.1场地文明施工/服务管理要求</w:t>
      </w:r>
    </w:p>
    <w:p w14:paraId="1E7588E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3.1.1乙方未经许可，不得将材料物资、设施设备等占用道路和通道。</w:t>
      </w:r>
    </w:p>
    <w:p w14:paraId="78AF84F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3.1.2乙方生活垃圾应定置管理，不随意倾倒、排放。</w:t>
      </w:r>
    </w:p>
    <w:p w14:paraId="28A75F6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3.1.3乙方施工过程中产生的危险废物单独设贮存点，应防雨防渗防流失，不得与生活垃圾及其他物质一起堆存。</w:t>
      </w:r>
    </w:p>
    <w:p w14:paraId="4689C6F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3.1.4乙方不得对周围环境造成破坏。</w:t>
      </w:r>
    </w:p>
    <w:p w14:paraId="253648D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3.1.5乙方不得对周围环境产生污染。</w:t>
      </w:r>
    </w:p>
    <w:p w14:paraId="33DE561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3.1.6乙方应作到工完料清，定置建筑垃圾和废弃材料，并定期清理出场。</w:t>
      </w:r>
    </w:p>
    <w:p w14:paraId="702332A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3.1.7乙方应定置施工材料、物资，并摆放整齐，不散乱堆放。</w:t>
      </w:r>
    </w:p>
    <w:p w14:paraId="045F8E0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乙方违反3.1.1～3.1.5款应支付违约金3000元；违反3.1.6～3.1.7款应支付违约金1000元。</w:t>
      </w:r>
    </w:p>
    <w:p w14:paraId="49E00B8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 人员文明管理要求</w:t>
      </w:r>
    </w:p>
    <w:p w14:paraId="7D2737E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3.2.1乙方施工区域无人员随意丢弃垃圾。</w:t>
      </w:r>
    </w:p>
    <w:p w14:paraId="0C9DC4C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3.2.2乙方无人员在生产现场、设备安装调试现场随地吐痰。</w:t>
      </w:r>
    </w:p>
    <w:p w14:paraId="053FF59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3.2.3乙方无人员随意大小便。</w:t>
      </w:r>
    </w:p>
    <w:p w14:paraId="2558C70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3.2.4乙方施工区域内，非吸烟点地面无烟头。</w:t>
      </w:r>
    </w:p>
    <w:p w14:paraId="740D554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3.2.5乙方所有人员不得在禁止吸烟区域吸烟。</w:t>
      </w:r>
    </w:p>
    <w:p w14:paraId="0615BE3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3.2.6乙方所有人员不得酒后进入厂区或施工现场、不得将酒类带入厂区或施工现场、现场无酒瓶。</w:t>
      </w:r>
    </w:p>
    <w:p w14:paraId="418A5EA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3.2.7乙方员工遵守甲方规定的劳动纪律要求，按甲方要求进行着装（如有）。</w:t>
      </w:r>
    </w:p>
    <w:p w14:paraId="1746E7A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3.2.8乙方人员不进入甲方“未经审批禁止进入”区域及规定禁入的区域。</w:t>
      </w:r>
    </w:p>
    <w:p w14:paraId="774CAB7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3.2.9乙方所有人员不得在施工作业现场睡觉。</w:t>
      </w:r>
    </w:p>
    <w:p w14:paraId="3E4199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3.2.10乙方所有人员应遵守甲方道路的管理规定。</w:t>
      </w:r>
    </w:p>
    <w:p w14:paraId="5595DF8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乙方违反3.2.1～3.2.10款应支付违约金500元。</w:t>
      </w:r>
    </w:p>
    <w:p w14:paraId="0343C8F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3.3文明施工其他各项管理要求</w:t>
      </w:r>
    </w:p>
    <w:p w14:paraId="1975EDA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3.3.1乙方应杜绝各类治安和刑事案件的发生。</w:t>
      </w:r>
    </w:p>
    <w:p w14:paraId="459061B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3.3.2乙方应避免甲方、他方在建和已建设施、公用和市政基础设施受损或影响。</w:t>
      </w:r>
    </w:p>
    <w:p w14:paraId="47131E8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3.3.3乙方应执行甲方对施工现场办公生活设施、卫生防疫规定的要求。</w:t>
      </w:r>
    </w:p>
    <w:p w14:paraId="4C31A8D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3.3.4乙方不得造成甲方、他方的设备、物资、材料受损或影响。</w:t>
      </w:r>
    </w:p>
    <w:p w14:paraId="0C62F1C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3.3.5乙方不得对甲方的绿化场地、树木造成损坏。</w:t>
      </w:r>
    </w:p>
    <w:p w14:paraId="78DBAB7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3.3.6乙方应保证施工区域照明足够，满足施工要求。</w:t>
      </w:r>
    </w:p>
    <w:p w14:paraId="45E1CE1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3.3.7乙方保证其人员不在未经甲方允许下使用、动用甲方任何设施设备。</w:t>
      </w:r>
    </w:p>
    <w:p w14:paraId="7CDC2B7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乙方违反3.3.1～3.3.5款应支付违约金1000元。</w:t>
      </w:r>
    </w:p>
    <w:p w14:paraId="1245031D">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4．施工及服务安全管理</w:t>
      </w:r>
    </w:p>
    <w:p w14:paraId="2B039A8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4.1施工安全管理制度要求</w:t>
      </w:r>
    </w:p>
    <w:p w14:paraId="05C028A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4.1.1乙方应建立健全安全管理组织机构和安全管理制度。</w:t>
      </w:r>
    </w:p>
    <w:p w14:paraId="15D80B5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4.1.2乙方应编制专项施工方案，并按照施工方案所明确的安全措施或等效控制手段进行施工作业。</w:t>
      </w:r>
    </w:p>
    <w:p w14:paraId="621DF0D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4.1.3乙方应履行其他投标文件所涵盖综合安全管理措施。</w:t>
      </w:r>
    </w:p>
    <w:p w14:paraId="302A875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4.1.4乙方应执行甲方的登高、动火、临时用电、有限空间等高危作业审批制度。</w:t>
      </w:r>
    </w:p>
    <w:p w14:paraId="04E7605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4.1.5乙方应及时回复、响应甲方或其代表发现的安全隐患和提出的整改、整顿要求。</w:t>
      </w:r>
    </w:p>
    <w:p w14:paraId="6CE266F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4.1.6乙方必须参加甲方安全部门组织的各类安全会议。</w:t>
      </w:r>
    </w:p>
    <w:p w14:paraId="1D52C40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4.1.7乙方应编制所涉及作业的安全操作规程。</w:t>
      </w:r>
    </w:p>
    <w:p w14:paraId="2EDDB02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4.1.8乙方应编制并履行意外情况（气象、事故）下的应急响应预案。</w:t>
      </w:r>
    </w:p>
    <w:p w14:paraId="5BDA157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4.1.9乙方必须按照甲方的要求，及时上报本项目发生的安全生产、交通、火灾事故和治安刑事事件。</w:t>
      </w:r>
    </w:p>
    <w:p w14:paraId="45AB6E1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乙方违反4.1.1～4.1.8款应支付违约金2000元；违反4.1.9款应支付违约金10000元。</w:t>
      </w:r>
    </w:p>
    <w:p w14:paraId="2F4A7C1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4.2个人劳动防护用品要求</w:t>
      </w:r>
    </w:p>
    <w:p w14:paraId="3E859D8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4.2.1乙方进入施工现场的人员必须佩带安全帽等劳动防护用品。</w:t>
      </w:r>
    </w:p>
    <w:p w14:paraId="31DC66A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4.2.2乙方进入或途经甲方区域的人员应根据甲方相应区域的安全防护要求佩带相应的安全防护用品。</w:t>
      </w:r>
    </w:p>
    <w:p w14:paraId="707AC41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4.2.3乙方从事特定施工的人员应按照安全和健康要求配备相关的安全防护用品。</w:t>
      </w:r>
    </w:p>
    <w:p w14:paraId="29E9970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4.2.4乙方人员进行冲击钻、无齿锯切割、打磨等有飞溅物的作业时必须佩戴防护眼镜。</w:t>
      </w:r>
    </w:p>
    <w:p w14:paraId="3B0D70E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4.2.5乙方从事钢筋加工作业人员必须穿着防砸鞋。</w:t>
      </w:r>
    </w:p>
    <w:p w14:paraId="03A30BF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4.2.6乙方应保证其人员在进行高处作业时必须系好符合国家标准的全身式安全带。</w:t>
      </w:r>
    </w:p>
    <w:p w14:paraId="6BF1977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乙方违反4.2.1～4.2.5款应支付违约金500元；违反4.2.6款应支付2000元。</w:t>
      </w:r>
    </w:p>
    <w:p w14:paraId="28247D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4.3高处作业安全要求</w:t>
      </w:r>
    </w:p>
    <w:p w14:paraId="01CB70E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4.3.1乙方高处作业人员未患有高处作业禁忌症。</w:t>
      </w:r>
    </w:p>
    <w:p w14:paraId="32DCAD3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4.3.2乙方人员进行高处作业时必须正确佩戴使用安全帽、安全带、攀登自锁器、速差自控器等安全防护用具，不得脱保行走。</w:t>
      </w:r>
    </w:p>
    <w:p w14:paraId="08D8746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4.3.3乙方所有登高作业的设施设备应符合安全要求。</w:t>
      </w:r>
    </w:p>
    <w:p w14:paraId="78B720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4.3.4乙方应保证“四口”、“五临边”、移动平台、基坑边必须有安全防护措施。</w:t>
      </w:r>
    </w:p>
    <w:p w14:paraId="13B8E08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4.3.5乙方的支模架、脚手架、跳板、上下通道、人字梯、爬梯、护笼等必须符合规范要求，经过安全检验合格（如有监理，需要通过监理的安全检验）方可使用。</w:t>
      </w:r>
    </w:p>
    <w:p w14:paraId="4B546C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4.3.6乙方在轻质型材等强度不足的高处作业面、屋面（如石棉瓦、铁皮板、采光浪板、装饰板、屋面光伏板等）上作业，必须搭设临时通道，并在梁下张设安全平网或搭设安全防护设施。严禁未采取措施在轻质型材上行走、作业。临空一面应装设安全网或防护栏杆。</w:t>
      </w:r>
    </w:p>
    <w:p w14:paraId="7C30C49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4.3.7乙方遇有六级及以上大风禁止露天高处作业；冰雪、霜冻、雨雾天气下如未采取防滑、防寒、防冻等安全防护措施，禁止进行高处作业。</w:t>
      </w:r>
    </w:p>
    <w:p w14:paraId="461B461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4.3.8乙方不得从高处向下抛掷任何物品。</w:t>
      </w:r>
    </w:p>
    <w:p w14:paraId="6FAAF7E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4.3.9乙方进行高空作业时，下方必须拉设警示区域，全程派人监护。</w:t>
      </w:r>
    </w:p>
    <w:p w14:paraId="25E881E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4.3.10乙方高处作业时各类物品必须有效固定，无坠落可能；当日施工结束后，高处不得遗留任何工具、材料等物品。</w:t>
      </w:r>
    </w:p>
    <w:p w14:paraId="780104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4.3.11乙方使用人字梯进行高空作业时，人字梯下方必须有人扶护。</w:t>
      </w:r>
    </w:p>
    <w:p w14:paraId="36242F7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乙方违反4.3.1～4.3.11款应支付违约金2000元。</w:t>
      </w:r>
    </w:p>
    <w:p w14:paraId="34F9ED4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4.4消防安全要求</w:t>
      </w:r>
    </w:p>
    <w:p w14:paraId="5E579C3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4.4.1乙方明火作业时必须遵守“十不烧”原则。</w:t>
      </w:r>
    </w:p>
    <w:p w14:paraId="153488C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4.4.2乙方明火作业必须距离易燃物品10米以上；高处动火时必须对下方物品进行防火遮盖处理。</w:t>
      </w:r>
    </w:p>
    <w:p w14:paraId="27E36F8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4.4.3乙方必须根据施工需要配备合格有效的灭火器材；并定期检查，失效的立即更换。</w:t>
      </w:r>
    </w:p>
    <w:p w14:paraId="492F07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4.4.4乙方必须自行配备合格的灭火器材，不得挪用甲方的消防器材。</w:t>
      </w:r>
    </w:p>
    <w:p w14:paraId="1A92091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4.4.5乙方使用的氧气瓶和乙炔瓶必须分开定置存放、佩戴防护帽，使用时必须采取有可靠支撑的防倾倒装置。</w:t>
      </w:r>
    </w:p>
    <w:p w14:paraId="136B564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4.4.6乙方的所有气瓶运输必须采取人力或车辆，不得在地面滚动。</w:t>
      </w:r>
    </w:p>
    <w:p w14:paraId="1CD6027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4.4.7气瓶的压力表必须完整好用并在检验有效期内。</w:t>
      </w:r>
    </w:p>
    <w:p w14:paraId="4EF0B0A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4.4.8乙方使用的乙炔气瓶必须有回火防止器，使用专用的气管夹，皮管完好，无裂缝。</w:t>
      </w:r>
    </w:p>
    <w:p w14:paraId="211359E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4.4.9乙方必须对施工区域进行防火评估，需要时建立临时消防系统。</w:t>
      </w:r>
    </w:p>
    <w:p w14:paraId="2495D55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4.4.10动用明火作业，必须按甲方要求办理申请手续。</w:t>
      </w:r>
    </w:p>
    <w:p w14:paraId="5046861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乙方违反4.4.1～4.4.8款应支付违约金1000元；违反4.4.9、4.4.10款应支付违约金2000元。</w:t>
      </w:r>
    </w:p>
    <w:p w14:paraId="5DEB00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4.5吊装作业安全要求</w:t>
      </w:r>
    </w:p>
    <w:p w14:paraId="265851A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4.5.1乙方使用的各类吊车应有相关的证件，操作人员持有相关政府部门核发的操作证件。</w:t>
      </w:r>
    </w:p>
    <w:p w14:paraId="1D3F3E5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4.5.2乙方应保证其施工人员在进行起重作业时遵守“十不吊”。</w:t>
      </w:r>
    </w:p>
    <w:p w14:paraId="5608711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4.5.3乙方使用的各类绳索符合国家标准要求，不满足要求的立即更换。</w:t>
      </w:r>
    </w:p>
    <w:p w14:paraId="6B195C1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4.5.4乙方在进行吊装、起重、交叉作业时必须按照安全要求进行警示、警戒监护。</w:t>
      </w:r>
    </w:p>
    <w:p w14:paraId="65949EF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乙方违反4.5.1～4.5.4款应支付违约金2000元。</w:t>
      </w:r>
    </w:p>
    <w:p w14:paraId="3DA3252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4.6用电安全要求</w:t>
      </w:r>
    </w:p>
    <w:p w14:paraId="0D33FD4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4.6.1乙方应保证所使用的电气设施设备、电线电缆符合相关国家法律法规和安全规范标准要求。</w:t>
      </w:r>
    </w:p>
    <w:p w14:paraId="670244D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4.6.2乙方使用的电箱及内部器件必须完好、固定牢固无松脱，如有损坏应立即停止使用并更换。</w:t>
      </w:r>
    </w:p>
    <w:p w14:paraId="335BCFF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4.6.3乙方保证在施工作业中不使用双绞线等民用电线和插排。</w:t>
      </w:r>
    </w:p>
    <w:p w14:paraId="2D75887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4.6.4乙方保证各类电气设施设备必须可靠接地。</w:t>
      </w:r>
    </w:p>
    <w:p w14:paraId="73B8CDF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4.6.5乙方保证所有用电不多回路接线，保证“一机一闸，一箱一漏”。</w:t>
      </w:r>
    </w:p>
    <w:p w14:paraId="421CF67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4.6.6乙方保证手持照明灯具、危险场所等必须使用安全电压或潜水泵漏电保护装置。</w:t>
      </w:r>
    </w:p>
    <w:p w14:paraId="4DC6AC7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4.6.7乙方保证对所有电气设备进行定期检查并记录，专人管理，应禁止任何施工人员未经允许进入禁止区域或乱动电柜、电箱、机械开关等行为。</w:t>
      </w:r>
    </w:p>
    <w:p w14:paraId="66B1B5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4.6.8乙方应保证其所有非电工人员不私自接电。</w:t>
      </w:r>
    </w:p>
    <w:p w14:paraId="03591A04">
      <w:pPr>
        <w:spacing w:line="360" w:lineRule="auto"/>
        <w:ind w:firstLine="420" w:firstLineChars="200"/>
        <w:rPr>
          <w:color w:val="auto"/>
          <w:sz w:val="32"/>
          <w:szCs w:val="32"/>
        </w:rPr>
      </w:pPr>
      <w:r>
        <w:rPr>
          <w:rFonts w:hint="eastAsia" w:ascii="宋体" w:hAnsi="宋体" w:eastAsia="宋体" w:cs="Times New Roman"/>
          <w:color w:val="auto"/>
          <w:szCs w:val="21"/>
          <w:highlight w:val="none"/>
        </w:rPr>
        <w:t>4.6.9乙方应保证所用电线电缆按标准要求架设或埋设（TN-S系统，三相五线制），不拖地铺设，不被车辆碾压，不接触锋利边缘，不被物体挤压，不浸泡在水</w:t>
      </w:r>
      <w:r>
        <w:rPr>
          <w:color w:val="auto"/>
          <w:sz w:val="32"/>
          <w:szCs w:val="32"/>
        </w:rPr>
        <w:t>中。</w:t>
      </w:r>
    </w:p>
    <w:p w14:paraId="4BF7698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4.6.10乙方保证其使用的所有用电设施设备在室外有防雨措施。</w:t>
      </w:r>
    </w:p>
    <w:p w14:paraId="262B7A9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4.6.11乙方保证室外雨雪天气时停止电焊作业，电焊作业地点的地面无积水、冰雪。</w:t>
      </w:r>
    </w:p>
    <w:p w14:paraId="0725B2F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4.6.12乙方在活动板房、集装箱等金属外壳内穿越的低压线路必须穿绝缘管保护，防止破皮漏电。活动板房、集装箱等金属外壳必须可靠接地。</w:t>
      </w:r>
    </w:p>
    <w:p w14:paraId="05C6A50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乙方违反4.6.1～4.6.12款应支付违约金2000元。</w:t>
      </w:r>
    </w:p>
    <w:p w14:paraId="7854A98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4.7危险化学品管理安全要求</w:t>
      </w:r>
    </w:p>
    <w:p w14:paraId="200832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4.7.1乙方所有危险化学品应建立台账，外包装按法规要求张贴化学品标签。</w:t>
      </w:r>
    </w:p>
    <w:p w14:paraId="419A3F8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4.7.2乙方的危险化学品按法规要求存放，存放地点封闭有通风，设立化学品信息标识，负责人及联系方式。</w:t>
      </w:r>
    </w:p>
    <w:p w14:paraId="13D85B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4.7.3乙方使用、运输、存放易燃易爆化学品时必须配备有效的灭火器材。</w:t>
      </w:r>
    </w:p>
    <w:p w14:paraId="26B0568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4.7.4乙方使用后的危险化学品空包装当日清除出场。</w:t>
      </w:r>
    </w:p>
    <w:p w14:paraId="3D8C563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4.7.5乙方使用易燃易爆化学品时必须与动火点和热源保持10米以上的安全距离。</w:t>
      </w:r>
    </w:p>
    <w:p w14:paraId="57E6BE2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乙方违反4.7.1～4.7.5款应支付违约金2000元。</w:t>
      </w:r>
    </w:p>
    <w:p w14:paraId="709F89D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4.8机械设备安全要求</w:t>
      </w:r>
    </w:p>
    <w:p w14:paraId="280598D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4.8.1乙方所有施工设施设备进场前自行检查并向甲方提供清单和安全检查记录。</w:t>
      </w:r>
    </w:p>
    <w:p w14:paraId="2D92D44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4.8.2乙方按照甲方的要求所有在用设备张贴安全检验标识、标签。</w:t>
      </w:r>
    </w:p>
    <w:p w14:paraId="156B9C1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4.8.3乙方所有停用的设备必须张贴醒目的标志标识。</w:t>
      </w:r>
    </w:p>
    <w:p w14:paraId="20A2ACB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4.8.4乙方应保证特种设备具有各类保险、限位装置且安全保险装置正常可靠使用。</w:t>
      </w:r>
    </w:p>
    <w:p w14:paraId="4985980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4.8.5乙方保证所使用的机械设备其传动部分不暴露，安装防护装置。</w:t>
      </w:r>
    </w:p>
    <w:p w14:paraId="6DE937E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4.8.6乙方保证所使用的所有电锯有安全防护罩。</w:t>
      </w:r>
    </w:p>
    <w:p w14:paraId="469C4E0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4.8.7乙方保证所使用的开关符合安全要求。</w:t>
      </w:r>
    </w:p>
    <w:p w14:paraId="0D45695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4.8.8乙方人员不得超范围使用设施设备，如使用无齿锯打磨。</w:t>
      </w:r>
    </w:p>
    <w:p w14:paraId="67488E4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乙方违反4.8.1～4.8.4款应支付违约金1000元；违反4.8.5～4.8.8款应支付违约金2000元。</w:t>
      </w:r>
    </w:p>
    <w:p w14:paraId="1335AB7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4.9有限空间作业要求</w:t>
      </w:r>
    </w:p>
    <w:p w14:paraId="57F697C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4.9.1乙方有限空间作业前，严格实行作业审批制度，并确认相应的防护措施，严禁擅自进入有限空间作业。</w:t>
      </w:r>
    </w:p>
    <w:p w14:paraId="77AD816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4.9.2乙方必须对管理人员、监护人员、作业人员进行交底和培训，严禁在监护人员和作业人员未掌握有限空间作业安全知识、操作技能的情况下实施作业。</w:t>
      </w:r>
    </w:p>
    <w:p w14:paraId="334C21E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4.9.3乙方必须对进入受限空间的监护人员进行相关的安全培训，包括应急预案。</w:t>
      </w:r>
    </w:p>
    <w:p w14:paraId="0A403B8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4.9.4乙方必须对有限空间作业严格遵守“先通风、再检测、后作业”的原则，检测指标包括氧气浓度、易燃易爆物质（可燃性气体、爆炸性粉尘）浓度、有毒有害气体浓度，在作业过程中，必须进行定时检测或者连续监测。</w:t>
      </w:r>
    </w:p>
    <w:p w14:paraId="000BB4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4.9.5乙方有限空间作业完成后必须进行人员和设备的清点，确认无误后方可关闭进出口及解除本次作业前采取的隔离、封闭措施。</w:t>
      </w:r>
    </w:p>
    <w:p w14:paraId="1B9AE47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乙方违反4.9.1～4.9.5款应支付违约金2000元。</w:t>
      </w:r>
    </w:p>
    <w:p w14:paraId="56A877A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4.10交通车辆管理要求</w:t>
      </w:r>
    </w:p>
    <w:p w14:paraId="01250F1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4.10.1乙方保持进出车辆清洁、无扬尘。</w:t>
      </w:r>
    </w:p>
    <w:p w14:paraId="27E71C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4.10.2乙方车辆整体状态和各项安全装置完好无损。</w:t>
      </w:r>
    </w:p>
    <w:p w14:paraId="0F6ACB0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4.10.3乙方车辆按规定配置灭火器材。</w:t>
      </w:r>
    </w:p>
    <w:p w14:paraId="1A03660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4.10.4乙方车辆按位停放，未经甲方允许不得停放在厂区道路上。</w:t>
      </w:r>
    </w:p>
    <w:p w14:paraId="0E41F1A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4.10.5乙方应遵循甲方厂内机动车辆限速规定，不进入“未经允许禁入”的区域。</w:t>
      </w:r>
    </w:p>
    <w:p w14:paraId="3A9D193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4.10.6乙方车辆不得超载运输货物和人员，不得客货混装。</w:t>
      </w:r>
    </w:p>
    <w:p w14:paraId="6ADD74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4.10.7乙方除客运车辆外，其他所有车辆禁止载运人员。</w:t>
      </w:r>
    </w:p>
    <w:p w14:paraId="762D438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4.10.8乙方随车进入厂区的人员必须持有有效的卡证或办理入场登记。</w:t>
      </w:r>
    </w:p>
    <w:p w14:paraId="30B7A44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4.10.9乙方车辆必须避让行人，行人有优先通过权。</w:t>
      </w:r>
    </w:p>
    <w:p w14:paraId="47CB750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4.10.10乙方车辆必须按照甲方的厂区道路标识行驶，不得违章行驶。</w:t>
      </w:r>
    </w:p>
    <w:p w14:paraId="71CF16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乙方违反4.10.1～4.10.10款应支付违约金1000元。</w:t>
      </w:r>
    </w:p>
    <w:p w14:paraId="1B18D4E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4.11办公和生活场所及一般仓库要求</w:t>
      </w:r>
    </w:p>
    <w:p w14:paraId="2CB5557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4.11.1乙方施工作业、材料存放区与办公、生活区应划分清晰，并应采取相应的隔离措施。</w:t>
      </w:r>
    </w:p>
    <w:p w14:paraId="66EA409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4.11.2乙方办公和生活场所及一般仓库配备足够有效的灭火器材，宿舍、办公用房的防火等级、安全距离等应符合规范要求。</w:t>
      </w:r>
    </w:p>
    <w:p w14:paraId="325C488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4.11.3乙方办公场所和一般仓库内不得存放危险化学品。</w:t>
      </w:r>
    </w:p>
    <w:p w14:paraId="3DB2091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4.11.4乙方办公场所的各类电器必须有专人专管，人员离开时必须关闭电源。</w:t>
      </w:r>
    </w:p>
    <w:p w14:paraId="71A6ADC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4.11.5乙方必须保持办公场所整洁卫生，物品摆放整齐。</w:t>
      </w:r>
    </w:p>
    <w:p w14:paraId="0EB0A0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乙方违反4.11.1～4.11.5款应支付违约金1000元。</w:t>
      </w:r>
    </w:p>
    <w:p w14:paraId="1BC8B6A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4.12安全操作规程及施工反措</w:t>
      </w:r>
    </w:p>
    <w:p w14:paraId="0E02732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4.12.1乙方应对所有施工操作编制安全操作规程。</w:t>
      </w:r>
    </w:p>
    <w:p w14:paraId="5E8985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4.12.2乙方保证其人员不违反涉及高处、吊装作业、用电、动火作业、机械设备等操作的安全操作规程。</w:t>
      </w:r>
    </w:p>
    <w:p w14:paraId="022626D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4.12.3乙方保证其人员不违反</w:t>
      </w:r>
      <w:bookmarkStart w:id="419" w:name="_Hlk144053524"/>
      <w:r>
        <w:rPr>
          <w:rFonts w:hint="eastAsia" w:ascii="宋体" w:hAnsi="宋体" w:eastAsia="宋体" w:cs="Times New Roman"/>
          <w:color w:val="auto"/>
          <w:szCs w:val="21"/>
          <w:highlight w:val="none"/>
        </w:rPr>
        <w:t>《防止电力建设工程施工安全事故三十项重点要求》</w:t>
      </w:r>
      <w:bookmarkEnd w:id="419"/>
      <w:r>
        <w:rPr>
          <w:rFonts w:hint="eastAsia" w:ascii="宋体" w:hAnsi="宋体" w:eastAsia="宋体" w:cs="Times New Roman"/>
          <w:color w:val="auto"/>
          <w:szCs w:val="21"/>
          <w:highlight w:val="none"/>
        </w:rPr>
        <w:t>《防止电力生产事故的二十五项重点要求》中其他施工和生产反措要求。</w:t>
      </w:r>
    </w:p>
    <w:p w14:paraId="2D0B2716">
      <w:pPr>
        <w:spacing w:line="360" w:lineRule="auto"/>
        <w:ind w:firstLine="420" w:firstLineChars="200"/>
        <w:rPr>
          <w:color w:val="auto"/>
          <w:sz w:val="32"/>
          <w:szCs w:val="32"/>
        </w:rPr>
      </w:pPr>
      <w:r>
        <w:rPr>
          <w:rFonts w:hint="eastAsia" w:ascii="宋体" w:hAnsi="宋体" w:eastAsia="宋体" w:cs="Times New Roman"/>
          <w:color w:val="auto"/>
          <w:szCs w:val="21"/>
          <w:highlight w:val="none"/>
        </w:rPr>
        <w:t>乙方违反4.12.1～4.12.3款应支付违约金1000元。</w:t>
      </w:r>
    </w:p>
    <w:p w14:paraId="15BBE33F">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5．治安管理</w:t>
      </w:r>
    </w:p>
    <w:p w14:paraId="5B6A8F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5.1乙方人员盗窃物资材料类，经公安机关查实，乙方应按所盗窃物品价值的3—5倍支付违约金。</w:t>
      </w:r>
    </w:p>
    <w:p w14:paraId="2BC1C10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5.2乙方人员撬窃箱柜类盗取财物，经公安机关查实，乙方应按盗窃物品价值的5—10倍支付违约金。</w:t>
      </w:r>
    </w:p>
    <w:p w14:paraId="1F10B2E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5.3乙方人员发生职务侵占类的情节，按侵占物品价值的10倍支付违约金。</w:t>
      </w:r>
    </w:p>
    <w:p w14:paraId="4BA3089E">
      <w:pPr>
        <w:spacing w:line="360" w:lineRule="auto"/>
        <w:ind w:firstLine="420" w:firstLineChars="200"/>
        <w:rPr>
          <w:color w:val="auto"/>
          <w:sz w:val="32"/>
          <w:szCs w:val="32"/>
        </w:rPr>
      </w:pPr>
      <w:r>
        <w:rPr>
          <w:rFonts w:hint="eastAsia" w:ascii="宋体" w:hAnsi="宋体" w:eastAsia="宋体" w:cs="Times New Roman"/>
          <w:color w:val="auto"/>
          <w:szCs w:val="21"/>
          <w:highlight w:val="none"/>
        </w:rPr>
        <w:t>5.4乙方人员故意破坏技防设施，造成技防设施失效或设备损坏的，除赔偿设施维修费用外，还须支付违约金2000元。</w:t>
      </w:r>
    </w:p>
    <w:p w14:paraId="0F6DBF55">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6．其他安全要求</w:t>
      </w:r>
    </w:p>
    <w:p w14:paraId="1F61522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6.1乙方实施安全目视管理，现场配置相关的安全标志、操作规程牌。</w:t>
      </w:r>
    </w:p>
    <w:p w14:paraId="06E0B9C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6.2乙方应保证其管辖的任何人员或施工方人员未经搭设单位同意，不得乱拆脚手架、栏杆、跳板、安全网、坑洞盖板、塔架地锚缆绳、机电设备、构筑物的支撑、衬垫等安全设施或机电设备的保险装置、安全警告标志及信号等。</w:t>
      </w:r>
    </w:p>
    <w:p w14:paraId="0F975AD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6.3乙方保证所有人员遵守并配合甲方人员的安全管理和要求。</w:t>
      </w:r>
    </w:p>
    <w:p w14:paraId="764D6DA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6.4乙方保证其所有活动遵守甲方的相关规定和甲方提出的管理要求。</w:t>
      </w:r>
    </w:p>
    <w:p w14:paraId="73DFEF8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6.5乙方保证其施工人员不野蛮施工。</w:t>
      </w:r>
    </w:p>
    <w:p w14:paraId="35ED1DE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6.6乙方携带各种物料、材料、工具等物资出厂时履行甲方相关审批流程。</w:t>
      </w:r>
    </w:p>
    <w:p w14:paraId="198ED3C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6.7乙方应及时结算各类施工人员的薪酬，避免因欠薪事件影响甲方。</w:t>
      </w:r>
    </w:p>
    <w:p w14:paraId="3F305E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6.8乙方所有分包单位/施工单位,应经甲方项目批准。</w:t>
      </w:r>
    </w:p>
    <w:p w14:paraId="7A6A987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乙方违反6.1～6.6款应支付违约金1000元；违反6.7支付违约金10000元；违反6.8款乙方应支付违约金10000元，同时须重新报批，甲方保留停工、要求分包单位/施工单位撤场更换的权利。</w:t>
      </w:r>
    </w:p>
    <w:p w14:paraId="76A80CDF">
      <w:pPr>
        <w:pStyle w:val="4"/>
        <w:spacing w:before="0" w:after="0" w:line="360" w:lineRule="auto"/>
        <w:ind w:firstLine="422" w:firstLineChars="200"/>
        <w:jc w:val="both"/>
        <w:outlineLvl w:val="3"/>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7．其他说明</w:t>
      </w:r>
    </w:p>
    <w:p w14:paraId="53A47E8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以下条款为上述各项的补充约定：</w:t>
      </w:r>
    </w:p>
    <w:p w14:paraId="2BD2C30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7.1对于重复发生违反上述要求和情节恶劣、影响严重、乙方事后态度不好的情况，甲方有要求乙方增加支付1-5倍违约金的权利。</w:t>
      </w:r>
    </w:p>
    <w:p w14:paraId="53C26E8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7.2对于乙方事后态度较好，影响不严重的情况，可酌情减少乙方违约金数额。</w:t>
      </w:r>
    </w:p>
    <w:p w14:paraId="6AD11F4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7.3以上违约金的支付不包含各种情况下的物损等其他经济赔付。</w:t>
      </w:r>
    </w:p>
    <w:p w14:paraId="1BEEEA3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7.4乙方违反上述要求以外的情形，甲方有权按照相关法律法规和规章制度或参照上述类似情形要求乙方支付违约金。</w:t>
      </w:r>
    </w:p>
    <w:p w14:paraId="27995C2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7.5乙方如未按安全标书承诺保障安全投入的,甲方有权将不足的安全保障资金作为违约金,用于项目安全保障和提升。</w:t>
      </w:r>
    </w:p>
    <w:p w14:paraId="2B84FD2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7.6发现乙方有两起以上严重的违章违约事件、发现乙方现场领导渎职或强令施工人员违章冒险作业的，经甲方安全环保部门决定，有权将乙方现场领导逐出施工现场，有权要求乙方重新更换施工领导、项目经理及其负责人，乙方应承担由此引起的任何直接或间接损失。</w:t>
      </w:r>
    </w:p>
    <w:p w14:paraId="3AFC53A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7.7乙方应在接到甲方违约金支付通知之日起10个工作日内向甲方支付违约金，否则甲方将有权要求乙方加倍支付违约金；乙方延迟或拒绝支付的，由甲方财务部门在项目结算时直接予以扣除，由此造成的直接或间接损失全部由乙方承担。</w:t>
      </w:r>
    </w:p>
    <w:p w14:paraId="0726FA2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7.8甲方在适当阶段对安全优秀的乙方单位及个人予以表彰鼓励。</w:t>
      </w:r>
    </w:p>
    <w:p w14:paraId="5324A9E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7.9若乙方的合同商（包括但不限于材料供应商、服务商、分包商等）需进入甲方区域作业/施工，乙方应告知本规定的存在并严格管理。进入甲方区域的乙方合同商的行为将被视为乙方自身的行为，本规定同样适用。</w:t>
      </w:r>
    </w:p>
    <w:p w14:paraId="15465A8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7.10上述违约金的支付，应由乙方向甲方财务部门支付。</w:t>
      </w:r>
    </w:p>
    <w:p w14:paraId="37CE908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7.11本规定为双方签订工程项目合同的特别规定，其规定并不减损乙方在工程合同规定下的其他责任和义务，乙方仍应遵守工程合同相关的规定。</w:t>
      </w:r>
    </w:p>
    <w:p w14:paraId="2D2B3A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p>
    <w:p w14:paraId="37D8A1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r>
        <w:rPr>
          <w:rFonts w:hint="eastAsia" w:ascii="宋体" w:hAnsi="宋体"/>
          <w:bCs/>
          <w:color w:val="auto"/>
          <w:szCs w:val="21"/>
        </w:rPr>
        <w:t>（以下为签字盖章页）。</w:t>
      </w:r>
    </w:p>
    <w:p w14:paraId="1929C0E8">
      <w:pPr>
        <w:adjustRightInd w:val="0"/>
        <w:snapToGrid w:val="0"/>
        <w:spacing w:line="600" w:lineRule="exact"/>
        <w:rPr>
          <w:rFonts w:hint="eastAsia"/>
          <w:color w:val="auto"/>
          <w:sz w:val="32"/>
          <w:szCs w:val="32"/>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728"/>
        <w:gridCol w:w="4651"/>
      </w:tblGrid>
      <w:tr w14:paraId="64D29FA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83" w:hRule="atLeast"/>
          <w:jc w:val="center"/>
        </w:trPr>
        <w:tc>
          <w:tcPr>
            <w:tcW w:w="4728" w:type="dxa"/>
            <w:noWrap w:val="0"/>
            <w:vAlign w:val="center"/>
          </w:tcPr>
          <w:p w14:paraId="70423705">
            <w:pPr>
              <w:widowControl/>
              <w:spacing w:line="36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lang w:val="en-US" w:eastAsia="zh-CN"/>
              </w:rPr>
              <w:t>甲</w:t>
            </w:r>
            <w:r>
              <w:rPr>
                <w:rFonts w:hint="eastAsia" w:ascii="方正仿宋_GBK" w:hAnsi="方正仿宋_GBK" w:eastAsia="方正仿宋_GBK" w:cs="方正仿宋_GBK"/>
                <w:b/>
                <w:color w:val="auto"/>
                <w:sz w:val="24"/>
                <w:highlight w:val="none"/>
              </w:rPr>
              <w:t xml:space="preserve">      方</w:t>
            </w:r>
          </w:p>
        </w:tc>
        <w:tc>
          <w:tcPr>
            <w:tcW w:w="4651" w:type="dxa"/>
            <w:noWrap w:val="0"/>
            <w:vAlign w:val="center"/>
          </w:tcPr>
          <w:p w14:paraId="4091F52C">
            <w:pPr>
              <w:widowControl/>
              <w:spacing w:line="36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lang w:val="en-US" w:eastAsia="zh-CN"/>
              </w:rPr>
              <w:t>乙</w:t>
            </w:r>
            <w:r>
              <w:rPr>
                <w:rFonts w:hint="eastAsia" w:ascii="方正仿宋_GBK" w:hAnsi="方正仿宋_GBK" w:eastAsia="方正仿宋_GBK" w:cs="方正仿宋_GBK"/>
                <w:b/>
                <w:color w:val="auto"/>
                <w:sz w:val="24"/>
                <w:highlight w:val="none"/>
              </w:rPr>
              <w:t xml:space="preserve">      方</w:t>
            </w:r>
          </w:p>
        </w:tc>
      </w:tr>
      <w:tr w14:paraId="2350CD1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333" w:hRule="atLeast"/>
          <w:jc w:val="center"/>
        </w:trPr>
        <w:tc>
          <w:tcPr>
            <w:tcW w:w="4728" w:type="dxa"/>
            <w:noWrap w:val="0"/>
            <w:vAlign w:val="top"/>
          </w:tcPr>
          <w:p w14:paraId="2A94E1B5">
            <w:pPr>
              <w:keepNext w:val="0"/>
              <w:keepLines w:val="0"/>
              <w:pageBreakBefore w:val="0"/>
              <w:widowControl w:val="0"/>
              <w:kinsoku/>
              <w:wordWrap/>
              <w:overflowPunct/>
              <w:topLinePunct w:val="0"/>
              <w:autoSpaceDE/>
              <w:autoSpaceDN/>
              <w:bidi w:val="0"/>
              <w:adjustRightInd/>
              <w:snapToGrid/>
              <w:spacing w:line="480" w:lineRule="exact"/>
              <w:ind w:left="1200" w:leftChars="0" w:hanging="1200" w:hangingChars="500"/>
              <w:textAlignment w:val="auto"/>
              <w:rPr>
                <w:rFonts w:hint="eastAsia" w:ascii="方正仿宋_GBK" w:hAnsi="方正仿宋_GBK" w:eastAsia="方正仿宋_GBK" w:cs="方正仿宋_GBK"/>
                <w:bCs/>
                <w:color w:val="auto"/>
                <w:sz w:val="24"/>
                <w:highlight w:val="none"/>
                <w:lang w:eastAsia="zh-CN"/>
              </w:rPr>
            </w:pPr>
            <w:r>
              <w:rPr>
                <w:rFonts w:hint="eastAsia" w:ascii="方正仿宋_GBK" w:hAnsi="方正仿宋_GBK" w:eastAsia="方正仿宋_GBK" w:cs="方正仿宋_GBK"/>
                <w:bCs/>
                <w:color w:val="auto"/>
                <w:sz w:val="24"/>
                <w:highlight w:val="none"/>
              </w:rPr>
              <w:t>单位（公章）：</w:t>
            </w:r>
          </w:p>
        </w:tc>
        <w:tc>
          <w:tcPr>
            <w:tcW w:w="4651" w:type="dxa"/>
            <w:noWrap w:val="0"/>
            <w:vAlign w:val="top"/>
          </w:tcPr>
          <w:p w14:paraId="69CB19E7">
            <w:pPr>
              <w:spacing w:line="480" w:lineRule="exact"/>
              <w:ind w:left="1440" w:leftChars="0" w:hanging="1440" w:hangingChars="600"/>
              <w:rPr>
                <w:rFonts w:hint="eastAsia" w:ascii="方正仿宋_GBK" w:hAnsi="方正仿宋_GBK" w:eastAsia="方正仿宋_GBK" w:cs="方正仿宋_GBK"/>
                <w:bCs/>
                <w:color w:val="auto"/>
                <w:sz w:val="24"/>
                <w:highlight w:val="none"/>
                <w:lang w:eastAsia="zh-CN"/>
              </w:rPr>
            </w:pPr>
            <w:r>
              <w:rPr>
                <w:rFonts w:hint="eastAsia" w:ascii="方正仿宋_GBK" w:hAnsi="方正仿宋_GBK" w:eastAsia="方正仿宋_GBK" w:cs="方正仿宋_GBK"/>
                <w:bCs/>
                <w:color w:val="auto"/>
                <w:sz w:val="24"/>
                <w:highlight w:val="none"/>
              </w:rPr>
              <w:t>单位（公章）：</w:t>
            </w:r>
          </w:p>
        </w:tc>
      </w:tr>
      <w:tr w14:paraId="2970EE8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91" w:hRule="atLeast"/>
          <w:jc w:val="center"/>
        </w:trPr>
        <w:tc>
          <w:tcPr>
            <w:tcW w:w="4728" w:type="dxa"/>
            <w:noWrap w:val="0"/>
            <w:vAlign w:val="top"/>
          </w:tcPr>
          <w:p w14:paraId="26122D8E">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法定代表人或</w:t>
            </w:r>
          </w:p>
        </w:tc>
        <w:tc>
          <w:tcPr>
            <w:tcW w:w="4651" w:type="dxa"/>
            <w:noWrap w:val="0"/>
            <w:vAlign w:val="top"/>
          </w:tcPr>
          <w:p w14:paraId="521E5105">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法定代表人或</w:t>
            </w:r>
          </w:p>
        </w:tc>
      </w:tr>
      <w:tr w14:paraId="76AFB2D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30" w:hRule="atLeast"/>
          <w:jc w:val="center"/>
        </w:trPr>
        <w:tc>
          <w:tcPr>
            <w:tcW w:w="4728" w:type="dxa"/>
            <w:noWrap w:val="0"/>
            <w:vAlign w:val="top"/>
          </w:tcPr>
          <w:p w14:paraId="40038D19">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 xml:space="preserve">其授权代表（签名）： </w:t>
            </w:r>
          </w:p>
        </w:tc>
        <w:tc>
          <w:tcPr>
            <w:tcW w:w="4651" w:type="dxa"/>
            <w:noWrap w:val="0"/>
            <w:vAlign w:val="top"/>
          </w:tcPr>
          <w:p w14:paraId="4F840EBA">
            <w:pPr>
              <w:spacing w:line="480" w:lineRule="exac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 xml:space="preserve">其授权代表（签名）： </w:t>
            </w:r>
          </w:p>
        </w:tc>
      </w:tr>
      <w:tr w14:paraId="5197FE2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0" w:hRule="atLeast"/>
          <w:jc w:val="center"/>
        </w:trPr>
        <w:tc>
          <w:tcPr>
            <w:tcW w:w="4728" w:type="dxa"/>
            <w:noWrap w:val="0"/>
            <w:vAlign w:val="center"/>
          </w:tcPr>
          <w:p w14:paraId="04B16750">
            <w:pPr>
              <w:spacing w:line="480" w:lineRule="exact"/>
              <w:rPr>
                <w:rFonts w:hint="eastAsia" w:ascii="方正仿宋_GBK" w:hAnsi="方正仿宋_GBK" w:eastAsia="方正仿宋_GBK" w:cs="方正仿宋_GBK"/>
                <w:bCs/>
                <w:color w:val="auto"/>
                <w:kern w:val="0"/>
                <w:sz w:val="24"/>
                <w:highlight w:val="none"/>
                <w:u w:val="single"/>
                <w:lang w:val="en-US" w:eastAsia="zh-CN"/>
              </w:rPr>
            </w:pPr>
            <w:r>
              <w:rPr>
                <w:rFonts w:hint="eastAsia" w:ascii="方正仿宋_GBK" w:hAnsi="方正仿宋_GBK" w:eastAsia="方正仿宋_GBK" w:cs="方正仿宋_GBK"/>
                <w:bCs/>
                <w:color w:val="auto"/>
                <w:sz w:val="24"/>
                <w:highlight w:val="none"/>
                <w:lang w:val="en-US" w:eastAsia="zh-CN"/>
              </w:rPr>
              <w:t>签订日期</w:t>
            </w:r>
            <w:r>
              <w:rPr>
                <w:rFonts w:hint="eastAsia" w:ascii="方正仿宋_GBK" w:hAnsi="方正仿宋_GBK" w:eastAsia="方正仿宋_GBK" w:cs="方正仿宋_GBK"/>
                <w:bCs/>
                <w:color w:val="auto"/>
                <w:sz w:val="24"/>
                <w:highlight w:val="none"/>
              </w:rPr>
              <w:t>：</w:t>
            </w:r>
            <w:r>
              <w:rPr>
                <w:rFonts w:hint="eastAsia" w:ascii="方正仿宋_GBK" w:hAnsi="方正仿宋_GBK" w:eastAsia="方正仿宋_GBK" w:cs="方正仿宋_GBK"/>
                <w:bCs/>
                <w:color w:val="auto"/>
                <w:kern w:val="0"/>
                <w:sz w:val="24"/>
                <w:highlight w:val="none"/>
                <w:u w:val="none"/>
                <w:lang w:val="en-US" w:eastAsia="zh-CN"/>
              </w:rPr>
              <w:t>2025</w:t>
            </w:r>
            <w:r>
              <w:rPr>
                <w:rFonts w:hint="eastAsia" w:ascii="方正仿宋_GBK" w:hAnsi="方正仿宋_GBK" w:eastAsia="方正仿宋_GBK" w:cs="方正仿宋_GBK"/>
                <w:bCs/>
                <w:color w:val="auto"/>
                <w:kern w:val="0"/>
                <w:sz w:val="24"/>
                <w:highlight w:val="none"/>
                <w:u w:val="single"/>
                <w:lang w:val="en-US" w:eastAsia="zh-CN"/>
              </w:rPr>
              <w:t xml:space="preserve">年   月   日 </w:t>
            </w:r>
          </w:p>
          <w:p w14:paraId="22BC81ED">
            <w:pPr>
              <w:spacing w:line="480" w:lineRule="exact"/>
              <w:rPr>
                <w:rFonts w:hint="default" w:ascii="方正仿宋_GBK" w:hAnsi="方正仿宋_GBK" w:eastAsia="方正仿宋_GBK" w:cs="方正仿宋_GBK"/>
                <w:bCs/>
                <w:color w:val="auto"/>
                <w:kern w:val="0"/>
                <w:sz w:val="24"/>
                <w:highlight w:val="none"/>
                <w:u w:val="single"/>
                <w:lang w:val="en-US" w:eastAsia="zh-CN"/>
              </w:rPr>
            </w:pPr>
          </w:p>
        </w:tc>
        <w:tc>
          <w:tcPr>
            <w:tcW w:w="4651" w:type="dxa"/>
            <w:noWrap w:val="0"/>
            <w:vAlign w:val="top"/>
          </w:tcPr>
          <w:p w14:paraId="4CC3809B">
            <w:pPr>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val="en-US" w:eastAsia="zh-CN"/>
              </w:rPr>
              <w:t>签订日期</w:t>
            </w:r>
            <w:r>
              <w:rPr>
                <w:rFonts w:hint="eastAsia" w:ascii="方正仿宋_GBK" w:hAnsi="方正仿宋_GBK" w:eastAsia="方正仿宋_GBK" w:cs="方正仿宋_GBK"/>
                <w:bCs/>
                <w:color w:val="auto"/>
                <w:sz w:val="24"/>
                <w:highlight w:val="none"/>
              </w:rPr>
              <w:t>：</w:t>
            </w:r>
            <w:r>
              <w:rPr>
                <w:rFonts w:hint="eastAsia" w:ascii="方正仿宋_GBK" w:hAnsi="方正仿宋_GBK" w:eastAsia="方正仿宋_GBK" w:cs="方正仿宋_GBK"/>
                <w:bCs/>
                <w:color w:val="auto"/>
                <w:kern w:val="0"/>
                <w:sz w:val="24"/>
                <w:highlight w:val="none"/>
                <w:u w:val="none"/>
                <w:lang w:val="en-US" w:eastAsia="zh-CN"/>
              </w:rPr>
              <w:t>2025</w:t>
            </w:r>
            <w:r>
              <w:rPr>
                <w:rFonts w:hint="eastAsia" w:ascii="方正仿宋_GBK" w:hAnsi="方正仿宋_GBK" w:eastAsia="方正仿宋_GBK" w:cs="方正仿宋_GBK"/>
                <w:bCs/>
                <w:color w:val="auto"/>
                <w:kern w:val="0"/>
                <w:sz w:val="24"/>
                <w:highlight w:val="none"/>
                <w:u w:val="single"/>
                <w:lang w:val="en-US" w:eastAsia="zh-CN"/>
              </w:rPr>
              <w:t xml:space="preserve">年   月   日 </w:t>
            </w:r>
          </w:p>
        </w:tc>
      </w:tr>
    </w:tbl>
    <w:p w14:paraId="190F560E">
      <w:pPr>
        <w:adjustRightInd w:val="0"/>
        <w:snapToGrid w:val="0"/>
        <w:spacing w:line="600" w:lineRule="exact"/>
        <w:ind w:firstLine="640" w:firstLineChars="200"/>
        <w:textAlignment w:val="baseline"/>
        <w:rPr>
          <w:rFonts w:hint="eastAsia"/>
          <w:color w:val="auto"/>
          <w:kern w:val="0"/>
          <w:sz w:val="32"/>
          <w:szCs w:val="32"/>
        </w:rPr>
      </w:pPr>
    </w:p>
    <w:p w14:paraId="0C4F88A2">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Cs/>
          <w:color w:val="auto"/>
          <w:sz w:val="21"/>
          <w:szCs w:val="21"/>
          <w:highlight w:val="none"/>
        </w:rPr>
        <w:sectPr>
          <w:headerReference r:id="rId3" w:type="default"/>
          <w:footerReference r:id="rId4" w:type="default"/>
          <w:pgSz w:w="11906" w:h="16838"/>
          <w:pgMar w:top="1984" w:right="1361" w:bottom="1814" w:left="1361" w:header="1134" w:footer="850" w:gutter="0"/>
          <w:pgNumType w:fmt="decimal"/>
          <w:cols w:space="720" w:num="1"/>
          <w:docGrid w:linePitch="312" w:charSpace="0"/>
        </w:sectPr>
      </w:pPr>
    </w:p>
    <w:p w14:paraId="52E1AE2B">
      <w:pPr>
        <w:keepNext w:val="0"/>
        <w:keepLines w:val="0"/>
        <w:pageBreakBefore w:val="0"/>
        <w:widowControl w:val="0"/>
        <w:kinsoku/>
        <w:overflowPunct/>
        <w:topLinePunct w:val="0"/>
        <w:autoSpaceDE/>
        <w:autoSpaceDN/>
        <w:bidi w:val="0"/>
        <w:adjustRightInd/>
        <w:spacing w:line="500" w:lineRule="exact"/>
        <w:textAlignment w:val="auto"/>
        <w:outlineLvl w:val="1"/>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附件3</w:t>
      </w:r>
    </w:p>
    <w:p w14:paraId="19FA941B">
      <w:pPr>
        <w:pStyle w:val="2"/>
        <w:keepNext w:val="0"/>
        <w:keepLines w:val="0"/>
        <w:pageBreakBefore w:val="0"/>
        <w:widowControl w:val="0"/>
        <w:kinsoku/>
        <w:overflowPunct/>
        <w:topLinePunct w:val="0"/>
        <w:bidi w:val="0"/>
        <w:spacing w:line="500" w:lineRule="exact"/>
        <w:jc w:val="right"/>
        <w:textAlignment w:val="auto"/>
        <w:rPr>
          <w:rFonts w:hint="eastAsia"/>
        </w:rPr>
      </w:pPr>
      <w:bookmarkStart w:id="420" w:name="_GoBack"/>
      <w:bookmarkEnd w:id="420"/>
    </w:p>
    <w:p w14:paraId="575526A7">
      <w:pPr>
        <w:keepNext w:val="0"/>
        <w:keepLines w:val="0"/>
        <w:pageBreakBefore w:val="0"/>
        <w:widowControl w:val="0"/>
        <w:kinsoku/>
        <w:overflowPunct/>
        <w:topLinePunct w:val="0"/>
        <w:autoSpaceDE/>
        <w:autoSpaceDN/>
        <w:bidi w:val="0"/>
        <w:adjustRightInd/>
        <w:snapToGrid w:val="0"/>
        <w:spacing w:line="500" w:lineRule="exact"/>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合规承诺函</w:t>
      </w:r>
    </w:p>
    <w:p w14:paraId="47B0981A">
      <w:pPr>
        <w:keepNext w:val="0"/>
        <w:keepLines w:val="0"/>
        <w:pageBreakBefore w:val="0"/>
        <w:widowControl w:val="0"/>
        <w:kinsoku/>
        <w:overflowPunct/>
        <w:topLinePunct w:val="0"/>
        <w:autoSpaceDE/>
        <w:autoSpaceDN/>
        <w:bidi w:val="0"/>
        <w:adjustRightInd/>
        <w:snapToGrid w:val="0"/>
        <w:spacing w:line="500" w:lineRule="exact"/>
        <w:textAlignment w:val="auto"/>
        <w:rPr>
          <w:rFonts w:hint="eastAsia" w:asciiTheme="minorEastAsia" w:hAnsiTheme="minorEastAsia" w:eastAsiaTheme="minorEastAsia" w:cstheme="minorEastAsia"/>
          <w:sz w:val="44"/>
          <w:szCs w:val="44"/>
        </w:rPr>
      </w:pPr>
    </w:p>
    <w:p w14:paraId="128C6DCF">
      <w:pPr>
        <w:keepNext w:val="0"/>
        <w:keepLines w:val="0"/>
        <w:pageBreakBefore w:val="0"/>
        <w:widowControl w:val="0"/>
        <w:kinsoku/>
        <w:overflowPunct/>
        <w:topLinePunct w:val="0"/>
        <w:autoSpaceDE/>
        <w:autoSpaceDN/>
        <w:bidi w:val="0"/>
        <w:adjustRightInd/>
        <w:snapToGrid w:val="0"/>
        <w:spacing w:line="500" w:lineRule="exact"/>
        <w:ind w:firstLine="0"/>
        <w:textAlignment w:val="auto"/>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pacing w:val="0"/>
          <w:kern w:val="0"/>
          <w:sz w:val="24"/>
          <w:szCs w:val="24"/>
          <w:highlight w:val="none"/>
          <w:u w:val="single"/>
        </w:rPr>
        <w:t xml:space="preserve"> </w:t>
      </w:r>
      <w:r>
        <w:rPr>
          <w:rFonts w:hint="eastAsia" w:ascii="宋体" w:hAnsi="宋体" w:eastAsia="宋体" w:cs="宋体"/>
          <w:sz w:val="24"/>
          <w:szCs w:val="24"/>
          <w:u w:val="single"/>
        </w:rPr>
        <w:t>：</w:t>
      </w:r>
    </w:p>
    <w:p w14:paraId="71551215">
      <w:pPr>
        <w:keepNext w:val="0"/>
        <w:keepLines w:val="0"/>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为与</w:t>
      </w:r>
      <w:r>
        <w:rPr>
          <w:rFonts w:hint="eastAsia" w:ascii="宋体" w:hAnsi="宋体" w:eastAsia="宋体" w:cs="宋体"/>
          <w:sz w:val="24"/>
          <w:szCs w:val="24"/>
          <w:lang w:val="en-US" w:eastAsia="zh-CN"/>
        </w:rPr>
        <w:t>贵司</w:t>
      </w:r>
      <w:r>
        <w:rPr>
          <w:rFonts w:hint="eastAsia" w:ascii="宋体" w:hAnsi="宋体" w:eastAsia="宋体" w:cs="宋体"/>
          <w:sz w:val="24"/>
          <w:szCs w:val="24"/>
        </w:rPr>
        <w:t>建立互惠互利的良好商业合作关系，全面响应</w:t>
      </w:r>
      <w:r>
        <w:rPr>
          <w:rFonts w:hint="eastAsia" w:ascii="宋体" w:hAnsi="宋体" w:eastAsia="宋体" w:cs="宋体"/>
          <w:sz w:val="24"/>
          <w:szCs w:val="24"/>
          <w:lang w:val="en-US" w:eastAsia="zh-CN"/>
        </w:rPr>
        <w:t>贵司</w:t>
      </w:r>
      <w:r>
        <w:rPr>
          <w:rFonts w:hint="eastAsia" w:ascii="宋体" w:hAnsi="宋体" w:eastAsia="宋体" w:cs="宋体"/>
          <w:sz w:val="24"/>
          <w:szCs w:val="24"/>
        </w:rPr>
        <w:t>合规要求，承诺人</w:t>
      </w:r>
      <w:r>
        <w:rPr>
          <w:rFonts w:hint="eastAsia" w:ascii="宋体" w:hAnsi="宋体" w:eastAsia="宋体" w:cs="宋体"/>
          <w:sz w:val="24"/>
          <w:szCs w:val="24"/>
          <w:u w:val="none"/>
        </w:rPr>
        <w:t xml:space="preserve"> </w:t>
      </w:r>
      <w:r>
        <w:rPr>
          <w:rFonts w:hint="eastAsia" w:ascii="宋体" w:hAnsi="宋体" w:eastAsia="宋体" w:cs="宋体"/>
          <w:sz w:val="24"/>
          <w:szCs w:val="24"/>
          <w:u w:val="single"/>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特作出以下承诺：</w:t>
      </w:r>
    </w:p>
    <w:p w14:paraId="27C610B2">
      <w:pPr>
        <w:keepNext w:val="0"/>
        <w:keepLines w:val="0"/>
        <w:pageBreakBefore w:val="0"/>
        <w:widowControl w:val="0"/>
        <w:numPr>
          <w:ilvl w:val="0"/>
          <w:numId w:val="3"/>
        </w:numPr>
        <w:kinsoku/>
        <w:overflowPunct/>
        <w:topLinePunct w:val="0"/>
        <w:autoSpaceDE/>
        <w:autoSpaceDN/>
        <w:bidi w:val="0"/>
        <w:adjustRightInd/>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承诺人在</w:t>
      </w:r>
      <w:r>
        <w:rPr>
          <w:rFonts w:hint="eastAsia" w:ascii="宋体" w:hAnsi="宋体" w:eastAsia="宋体" w:cs="宋体"/>
          <w:sz w:val="24"/>
          <w:szCs w:val="24"/>
          <w:u w:val="single"/>
          <w:lang w:val="en-US" w:eastAsia="zh-CN"/>
        </w:rPr>
        <w:t xml:space="preserve">   履行合同    </w:t>
      </w:r>
      <w:r>
        <w:rPr>
          <w:rFonts w:hint="eastAsia" w:ascii="宋体" w:hAnsi="宋体" w:eastAsia="宋体" w:cs="宋体"/>
          <w:sz w:val="24"/>
          <w:szCs w:val="24"/>
        </w:rPr>
        <w:t>过程中，严格遵守中国、业务所在国，以及依据长臂管辖原则等可以适用的法律、法规、行业管理规范、业务监管要求、条例和惯例等，包括但不限于反欺诈、反贿赂、反垄断、反不正当竞争、外汇管制、反洗钱、知识产权保护、职业健康安全、劳工保护、环境保护、数据安全、个人信息保护和国家安全等方面的任何规定。承诺人未实施且不会实施任何可能使</w:t>
      </w:r>
      <w:r>
        <w:rPr>
          <w:rFonts w:hint="eastAsia" w:ascii="宋体" w:hAnsi="宋体" w:eastAsia="宋体" w:cs="宋体"/>
          <w:sz w:val="24"/>
          <w:szCs w:val="24"/>
          <w:lang w:val="en-US" w:eastAsia="zh-CN"/>
        </w:rPr>
        <w:t>贵司</w:t>
      </w:r>
      <w:r>
        <w:rPr>
          <w:rFonts w:hint="eastAsia" w:ascii="宋体" w:hAnsi="宋体" w:eastAsia="宋体" w:cs="宋体"/>
          <w:sz w:val="24"/>
          <w:szCs w:val="24"/>
        </w:rPr>
        <w:t>承担法律责任的行为。</w:t>
      </w:r>
    </w:p>
    <w:p w14:paraId="22949922">
      <w:pPr>
        <w:keepNext w:val="0"/>
        <w:keepLines w:val="0"/>
        <w:pageBreakBefore w:val="0"/>
        <w:widowControl w:val="0"/>
        <w:numPr>
          <w:ilvl w:val="0"/>
          <w:numId w:val="3"/>
        </w:numPr>
        <w:kinsoku/>
        <w:overflowPunct/>
        <w:topLinePunct w:val="0"/>
        <w:autoSpaceDE/>
        <w:autoSpaceDN/>
        <w:bidi w:val="0"/>
        <w:adjustRightInd/>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承诺人不向</w:t>
      </w:r>
      <w:r>
        <w:rPr>
          <w:rFonts w:hint="eastAsia" w:ascii="宋体" w:hAnsi="宋体" w:eastAsia="宋体" w:cs="宋体"/>
          <w:sz w:val="24"/>
          <w:szCs w:val="24"/>
          <w:lang w:val="en-US" w:eastAsia="zh-CN"/>
        </w:rPr>
        <w:t>贵司</w:t>
      </w:r>
      <w:r>
        <w:rPr>
          <w:rFonts w:hint="eastAsia" w:ascii="宋体" w:hAnsi="宋体" w:eastAsia="宋体" w:cs="宋体"/>
          <w:sz w:val="24"/>
          <w:szCs w:val="24"/>
        </w:rPr>
        <w:t>及员工实施任何形式的贿赂行为，即以影响另一方与</w:t>
      </w:r>
      <w:r>
        <w:rPr>
          <w:rFonts w:hint="eastAsia" w:ascii="宋体" w:hAnsi="宋体" w:eastAsia="宋体" w:cs="宋体"/>
          <w:sz w:val="24"/>
          <w:szCs w:val="24"/>
          <w:lang w:val="en-US" w:eastAsia="zh-CN"/>
        </w:rPr>
        <w:t>贵司</w:t>
      </w:r>
      <w:r>
        <w:rPr>
          <w:rFonts w:hint="eastAsia" w:ascii="宋体" w:hAnsi="宋体" w:eastAsia="宋体" w:cs="宋体"/>
          <w:sz w:val="24"/>
          <w:szCs w:val="24"/>
        </w:rPr>
        <w:t>业务相关的行为或决定为目的，直接或间接地提供、给予、接受或要求任何有价物或其他好处。</w:t>
      </w:r>
    </w:p>
    <w:p w14:paraId="6B3B07E5">
      <w:pPr>
        <w:keepNext w:val="0"/>
        <w:keepLines w:val="0"/>
        <w:pageBreakBefore w:val="0"/>
        <w:widowControl w:val="0"/>
        <w:numPr>
          <w:ilvl w:val="0"/>
          <w:numId w:val="3"/>
        </w:numPr>
        <w:kinsoku/>
        <w:overflowPunct/>
        <w:topLinePunct w:val="0"/>
        <w:autoSpaceDE/>
        <w:autoSpaceDN/>
        <w:bidi w:val="0"/>
        <w:adjustRightInd/>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承诺人不以影响商业决策或获取不正当利益为目的，直接或间接向政府官员、其他商业主体等任何人士或相关方提供、支付、给予、要求或承诺提供、支付、给予任何形式的贿赂、回扣及特殊待遇。</w:t>
      </w:r>
    </w:p>
    <w:p w14:paraId="1ABC06C4">
      <w:pPr>
        <w:keepNext w:val="0"/>
        <w:keepLines w:val="0"/>
        <w:pageBreakBefore w:val="0"/>
        <w:widowControl w:val="0"/>
        <w:numPr>
          <w:ilvl w:val="0"/>
          <w:numId w:val="3"/>
        </w:numPr>
        <w:kinsoku/>
        <w:overflowPunct/>
        <w:topLinePunct w:val="0"/>
        <w:autoSpaceDE/>
        <w:autoSpaceDN/>
        <w:bidi w:val="0"/>
        <w:adjustRightInd/>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承诺人将全面协助和配合</w:t>
      </w:r>
      <w:r>
        <w:rPr>
          <w:rFonts w:hint="eastAsia" w:ascii="宋体" w:hAnsi="宋体" w:eastAsia="宋体" w:cs="宋体"/>
          <w:sz w:val="24"/>
          <w:szCs w:val="24"/>
          <w:lang w:val="en-US" w:eastAsia="zh-CN"/>
        </w:rPr>
        <w:t>贵司</w:t>
      </w:r>
      <w:r>
        <w:rPr>
          <w:rFonts w:hint="eastAsia" w:ascii="宋体" w:hAnsi="宋体" w:eastAsia="宋体" w:cs="宋体"/>
          <w:sz w:val="24"/>
          <w:szCs w:val="24"/>
        </w:rPr>
        <w:t>的所有商业行为符合合规要求，并维持准确的财务记录，真实准确地在财务账簿中反映其与</w:t>
      </w:r>
      <w:r>
        <w:rPr>
          <w:rFonts w:hint="eastAsia" w:ascii="宋体" w:hAnsi="宋体" w:eastAsia="宋体" w:cs="宋体"/>
          <w:sz w:val="24"/>
          <w:szCs w:val="24"/>
          <w:u w:val="single"/>
          <w:lang w:val="en-US" w:eastAsia="zh-CN"/>
        </w:rPr>
        <w:t xml:space="preserve">     履行合同   </w:t>
      </w:r>
      <w:r>
        <w:rPr>
          <w:rFonts w:hint="eastAsia" w:ascii="宋体" w:hAnsi="宋体" w:eastAsia="宋体" w:cs="宋体"/>
          <w:sz w:val="24"/>
          <w:szCs w:val="24"/>
        </w:rPr>
        <w:t>有关的所有费用支出，并妥善保留相关财务凭证。</w:t>
      </w:r>
    </w:p>
    <w:p w14:paraId="28DEFC76">
      <w:pPr>
        <w:keepNext w:val="0"/>
        <w:keepLines w:val="0"/>
        <w:pageBreakBefore w:val="0"/>
        <w:widowControl w:val="0"/>
        <w:numPr>
          <w:ilvl w:val="0"/>
          <w:numId w:val="3"/>
        </w:numPr>
        <w:kinsoku/>
        <w:overflowPunct/>
        <w:topLinePunct w:val="0"/>
        <w:autoSpaceDE/>
        <w:autoSpaceDN/>
        <w:bidi w:val="0"/>
        <w:adjustRightInd/>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贵司及贵司</w:t>
      </w:r>
      <w:r>
        <w:rPr>
          <w:rFonts w:hint="eastAsia" w:ascii="宋体" w:hAnsi="宋体" w:eastAsia="宋体" w:cs="宋体"/>
          <w:sz w:val="24"/>
          <w:szCs w:val="24"/>
        </w:rPr>
        <w:t>聘请的第三方有权对承诺人遵守本承诺函的情况开展审计。承诺人同意配合</w:t>
      </w:r>
      <w:r>
        <w:rPr>
          <w:rFonts w:hint="eastAsia" w:ascii="宋体" w:hAnsi="宋体" w:eastAsia="宋体" w:cs="宋体"/>
          <w:sz w:val="24"/>
          <w:szCs w:val="24"/>
          <w:lang w:val="en-US" w:eastAsia="zh-CN"/>
        </w:rPr>
        <w:t>贵司</w:t>
      </w:r>
      <w:r>
        <w:rPr>
          <w:rFonts w:hint="eastAsia" w:ascii="宋体" w:hAnsi="宋体" w:eastAsia="宋体" w:cs="宋体"/>
          <w:sz w:val="24"/>
          <w:szCs w:val="24"/>
        </w:rPr>
        <w:t>的合规审计，包括配合就相关事项进行解释说明、</w:t>
      </w:r>
      <w:r>
        <w:rPr>
          <w:rFonts w:hint="eastAsia" w:ascii="宋体" w:hAnsi="宋体" w:eastAsia="宋体" w:cs="宋体"/>
          <w:sz w:val="24"/>
          <w:szCs w:val="24"/>
          <w:lang w:val="en-US" w:eastAsia="zh-CN"/>
        </w:rPr>
        <w:t>贵司</w:t>
      </w:r>
      <w:r>
        <w:rPr>
          <w:rFonts w:hint="eastAsia" w:ascii="宋体" w:hAnsi="宋体" w:eastAsia="宋体" w:cs="宋体"/>
          <w:sz w:val="24"/>
          <w:szCs w:val="24"/>
        </w:rPr>
        <w:t>或</w:t>
      </w:r>
      <w:r>
        <w:rPr>
          <w:rFonts w:hint="eastAsia" w:ascii="宋体" w:hAnsi="宋体" w:eastAsia="宋体" w:cs="宋体"/>
          <w:sz w:val="24"/>
          <w:szCs w:val="24"/>
          <w:lang w:val="en-US" w:eastAsia="zh-CN"/>
        </w:rPr>
        <w:t>贵</w:t>
      </w:r>
      <w:r>
        <w:rPr>
          <w:rFonts w:hint="eastAsia" w:ascii="宋体" w:hAnsi="宋体" w:eastAsia="宋体" w:cs="宋体"/>
          <w:sz w:val="24"/>
          <w:szCs w:val="24"/>
        </w:rPr>
        <w:t>司聘请的第三方提供与</w:t>
      </w:r>
      <w:r>
        <w:rPr>
          <w:rFonts w:hint="eastAsia" w:ascii="宋体" w:hAnsi="宋体" w:eastAsia="宋体" w:cs="宋体"/>
          <w:sz w:val="24"/>
          <w:szCs w:val="24"/>
          <w:lang w:val="en-US" w:eastAsia="zh-CN"/>
        </w:rPr>
        <w:t>商业事项</w:t>
      </w:r>
      <w:r>
        <w:rPr>
          <w:rFonts w:hint="eastAsia" w:ascii="宋体" w:hAnsi="宋体" w:eastAsia="宋体" w:cs="宋体"/>
          <w:sz w:val="24"/>
          <w:szCs w:val="24"/>
        </w:rPr>
        <w:t>相关的</w:t>
      </w:r>
      <w:r>
        <w:rPr>
          <w:rFonts w:hint="eastAsia" w:ascii="宋体" w:hAnsi="宋体" w:eastAsia="宋体" w:cs="宋体"/>
          <w:sz w:val="24"/>
          <w:szCs w:val="24"/>
          <w:lang w:val="en-US" w:eastAsia="zh-CN"/>
        </w:rPr>
        <w:t>往来文件</w:t>
      </w:r>
      <w:r>
        <w:rPr>
          <w:rFonts w:hint="eastAsia" w:ascii="宋体" w:hAnsi="宋体" w:eastAsia="宋体" w:cs="宋体"/>
          <w:sz w:val="24"/>
          <w:szCs w:val="24"/>
        </w:rPr>
        <w:t>、交易记录、财务账簿及其他会计凭证等资料。若相关的财务记录不准确，或者出现拒绝提供、隐瞒或提供虚假信息，或者存在行贿受贿、虚假报销等违规行为的嫌疑时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贵司</w:t>
      </w:r>
      <w:r>
        <w:rPr>
          <w:rFonts w:hint="eastAsia" w:ascii="宋体" w:hAnsi="宋体" w:eastAsia="宋体" w:cs="宋体"/>
          <w:sz w:val="24"/>
          <w:szCs w:val="24"/>
        </w:rPr>
        <w:t>均有权单方面以书面通知形式</w:t>
      </w:r>
      <w:r>
        <w:rPr>
          <w:rFonts w:hint="eastAsia" w:ascii="宋体" w:hAnsi="宋体" w:eastAsia="宋体" w:cs="宋体"/>
          <w:sz w:val="24"/>
          <w:szCs w:val="24"/>
          <w:lang w:val="en-US" w:eastAsia="zh-CN"/>
        </w:rPr>
        <w:t>终止该商业事项</w:t>
      </w:r>
      <w:r>
        <w:rPr>
          <w:rFonts w:hint="eastAsia" w:ascii="宋体" w:hAnsi="宋体" w:eastAsia="宋体" w:cs="宋体"/>
          <w:sz w:val="24"/>
          <w:szCs w:val="24"/>
        </w:rPr>
        <w:t>。</w:t>
      </w:r>
    </w:p>
    <w:p w14:paraId="770471B0">
      <w:pPr>
        <w:keepNext w:val="0"/>
        <w:keepLines w:val="0"/>
        <w:pageBreakBefore w:val="0"/>
        <w:widowControl w:val="0"/>
        <w:numPr>
          <w:ilvl w:val="0"/>
          <w:numId w:val="3"/>
        </w:numPr>
        <w:kinsoku/>
        <w:overflowPunct/>
        <w:topLinePunct w:val="0"/>
        <w:autoSpaceDE/>
        <w:autoSpaceDN/>
        <w:bidi w:val="0"/>
        <w:adjustRightInd/>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承诺人在开展与</w:t>
      </w:r>
      <w:r>
        <w:rPr>
          <w:rFonts w:hint="eastAsia" w:ascii="宋体" w:hAnsi="宋体" w:eastAsia="宋体" w:cs="宋体"/>
          <w:sz w:val="24"/>
          <w:szCs w:val="24"/>
          <w:lang w:val="en-US" w:eastAsia="zh-CN"/>
        </w:rPr>
        <w:t>贵司</w:t>
      </w:r>
      <w:r>
        <w:rPr>
          <w:rFonts w:hint="eastAsia" w:ascii="宋体" w:hAnsi="宋体" w:eastAsia="宋体" w:cs="宋体"/>
          <w:sz w:val="24"/>
          <w:szCs w:val="24"/>
        </w:rPr>
        <w:t>相关的业务中，如果需要再次聘请次级代理商、分销商、分包商或其他商业伙伴，应尽最大努力对业务中再聘请的第三方进行合规管理。（本条仅限于总承包商、代理商签署）</w:t>
      </w:r>
    </w:p>
    <w:p w14:paraId="33BF3BF6">
      <w:pPr>
        <w:keepNext w:val="0"/>
        <w:keepLines w:val="0"/>
        <w:pageBreakBefore w:val="0"/>
        <w:widowControl w:val="0"/>
        <w:numPr>
          <w:ilvl w:val="0"/>
          <w:numId w:val="3"/>
        </w:numPr>
        <w:kinsoku/>
        <w:overflowPunct/>
        <w:topLinePunct w:val="0"/>
        <w:autoSpaceDE/>
        <w:autoSpaceDN/>
        <w:bidi w:val="0"/>
        <w:adjustRightInd/>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承诺人所提供的任何声明、信息和业务陈述都是准确真实的。若相关信息存在任何更新或变化，将及时书面通知</w:t>
      </w:r>
      <w:r>
        <w:rPr>
          <w:rFonts w:hint="eastAsia" w:ascii="宋体" w:hAnsi="宋体" w:eastAsia="宋体" w:cs="宋体"/>
          <w:sz w:val="24"/>
          <w:szCs w:val="24"/>
          <w:lang w:val="en-US" w:eastAsia="zh-CN"/>
        </w:rPr>
        <w:t>贵司</w:t>
      </w:r>
      <w:r>
        <w:rPr>
          <w:rFonts w:hint="eastAsia" w:ascii="宋体" w:hAnsi="宋体" w:eastAsia="宋体" w:cs="宋体"/>
          <w:sz w:val="24"/>
          <w:szCs w:val="24"/>
        </w:rPr>
        <w:t>，并根据</w:t>
      </w:r>
      <w:r>
        <w:rPr>
          <w:rFonts w:hint="eastAsia" w:ascii="宋体" w:hAnsi="宋体" w:eastAsia="宋体" w:cs="宋体"/>
          <w:sz w:val="24"/>
          <w:szCs w:val="24"/>
          <w:lang w:val="en-US" w:eastAsia="zh-CN"/>
        </w:rPr>
        <w:t>贵司</w:t>
      </w:r>
      <w:r>
        <w:rPr>
          <w:rFonts w:hint="eastAsia" w:ascii="宋体" w:hAnsi="宋体" w:eastAsia="宋体" w:cs="宋体"/>
          <w:sz w:val="24"/>
          <w:szCs w:val="24"/>
        </w:rPr>
        <w:t>要求提供更新后的相关材料。</w:t>
      </w:r>
    </w:p>
    <w:p w14:paraId="65EF0AD3">
      <w:pPr>
        <w:keepNext w:val="0"/>
        <w:keepLines w:val="0"/>
        <w:pageBreakBefore w:val="0"/>
        <w:widowControl w:val="0"/>
        <w:numPr>
          <w:ilvl w:val="0"/>
          <w:numId w:val="3"/>
        </w:numPr>
        <w:kinsoku/>
        <w:overflowPunct/>
        <w:topLinePunct w:val="0"/>
        <w:autoSpaceDE/>
        <w:autoSpaceDN/>
        <w:bidi w:val="0"/>
        <w:adjustRightInd/>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承诺人违反以上承诺，应承担违约责任，包括但不限于赔偿</w:t>
      </w:r>
      <w:r>
        <w:rPr>
          <w:rFonts w:hint="eastAsia" w:ascii="宋体" w:hAnsi="宋体" w:eastAsia="宋体" w:cs="宋体"/>
          <w:sz w:val="24"/>
          <w:szCs w:val="24"/>
          <w:lang w:val="en-US" w:eastAsia="zh-CN"/>
        </w:rPr>
        <w:t>贵司</w:t>
      </w:r>
      <w:r>
        <w:rPr>
          <w:rFonts w:hint="eastAsia" w:ascii="宋体" w:hAnsi="宋体" w:eastAsia="宋体" w:cs="宋体"/>
          <w:sz w:val="24"/>
          <w:szCs w:val="24"/>
        </w:rPr>
        <w:t>因此产生的全部损失。</w:t>
      </w:r>
    </w:p>
    <w:p w14:paraId="5E46E293">
      <w:pPr>
        <w:keepNext w:val="0"/>
        <w:keepLines w:val="0"/>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sz w:val="24"/>
          <w:szCs w:val="24"/>
        </w:rPr>
      </w:pPr>
    </w:p>
    <w:p w14:paraId="1C213EDF">
      <w:pPr>
        <w:keepNext w:val="0"/>
        <w:keepLines w:val="0"/>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特此承诺。</w:t>
      </w:r>
    </w:p>
    <w:p w14:paraId="2DD8F707">
      <w:pPr>
        <w:keepNext w:val="0"/>
        <w:keepLines w:val="0"/>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sz w:val="24"/>
          <w:szCs w:val="24"/>
        </w:rPr>
      </w:pPr>
    </w:p>
    <w:p w14:paraId="22E8EA2D">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承诺人：</w:t>
      </w:r>
      <w:r>
        <w:rPr>
          <w:rFonts w:hint="eastAsia" w:ascii="宋体" w:hAnsi="宋体" w:eastAsia="宋体" w:cs="宋体"/>
          <w:sz w:val="24"/>
          <w:szCs w:val="24"/>
          <w:u w:val="single"/>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3F459D0B">
      <w:pPr>
        <w:keepNext w:val="0"/>
        <w:keepLines w:val="0"/>
        <w:pageBreakBefore w:val="0"/>
        <w:widowControl w:val="0"/>
        <w:kinsoku/>
        <w:wordWrap w:val="0"/>
        <w:overflowPunct/>
        <w:topLinePunct w:val="0"/>
        <w:autoSpaceDE/>
        <w:autoSpaceDN/>
        <w:bidi w:val="0"/>
        <w:adjustRightInd/>
        <w:snapToGrid w:val="0"/>
        <w:spacing w:line="500" w:lineRule="exact"/>
        <w:ind w:firstLine="1440" w:firstLineChars="600"/>
        <w:jc w:val="both"/>
        <w:textAlignment w:val="auto"/>
        <w:rPr>
          <w:rFonts w:hint="eastAsia" w:ascii="宋体" w:hAnsi="宋体" w:eastAsia="宋体" w:cs="宋体"/>
          <w:sz w:val="24"/>
          <w:szCs w:val="24"/>
        </w:rPr>
      </w:pPr>
    </w:p>
    <w:p w14:paraId="45DB18EB">
      <w:pPr>
        <w:keepNext w:val="0"/>
        <w:keepLines w:val="0"/>
        <w:pageBreakBefore w:val="0"/>
        <w:widowControl w:val="0"/>
        <w:kinsoku/>
        <w:wordWrap w:val="0"/>
        <w:overflowPunct/>
        <w:topLinePunct w:val="0"/>
        <w:autoSpaceDE/>
        <w:autoSpaceDN/>
        <w:bidi w:val="0"/>
        <w:adjustRightInd/>
        <w:snapToGrid w:val="0"/>
        <w:spacing w:line="500" w:lineRule="exact"/>
        <w:ind w:firstLine="3600" w:firstLineChars="15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法定代表人或其委托代理人签字：</w:t>
      </w:r>
      <w:r>
        <w:rPr>
          <w:rFonts w:hint="eastAsia" w:ascii="宋体" w:hAnsi="宋体" w:eastAsia="宋体" w:cs="宋体"/>
          <w:sz w:val="24"/>
          <w:szCs w:val="24"/>
          <w:lang w:val="en-US" w:eastAsia="zh-CN"/>
        </w:rPr>
        <w:t xml:space="preserve">         </w:t>
      </w:r>
    </w:p>
    <w:p w14:paraId="17D4F52B">
      <w:pPr>
        <w:numPr>
          <w:ilvl w:val="1"/>
          <w:numId w:val="4"/>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2BD8C76E">
      <w:pPr>
        <w:numPr>
          <w:ilvl w:val="1"/>
          <w:numId w:val="4"/>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r>
        <w:rPr>
          <w:rFonts w:hint="eastAsia" w:ascii="宋体" w:hAnsi="宋体" w:eastAsia="宋体" w:cs="宋体"/>
          <w:sz w:val="24"/>
          <w:szCs w:val="24"/>
          <w:lang w:val="en-US" w:eastAsia="zh-CN"/>
        </w:rPr>
        <w:t xml:space="preserve">  </w:t>
      </w:r>
    </w:p>
    <w:p w14:paraId="1EAB00F2">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3"/>
        <w:rPr>
          <w:rFonts w:hint="default" w:ascii="宋体" w:hAnsi="宋体" w:eastAsia="宋体" w:cs="Times New Roman"/>
          <w:bCs/>
          <w:color w:val="auto"/>
          <w:sz w:val="24"/>
          <w:szCs w:val="21"/>
          <w:highlight w:val="none"/>
          <w:lang w:val="en-US" w:eastAsia="zh-CN"/>
        </w:rPr>
      </w:pPr>
    </w:p>
    <w:p w14:paraId="6E5CF80F">
      <w:pPr>
        <w:spacing w:line="272" w:lineRule="auto"/>
        <w:rPr>
          <w:rFonts w:ascii="Arial"/>
          <w:sz w:val="21"/>
        </w:rPr>
      </w:pPr>
    </w:p>
    <w:p w14:paraId="1265E3F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                                          年   月   日</w:t>
      </w:r>
    </w:p>
    <w:p w14:paraId="01991C76">
      <w:pPr>
        <w:rPr>
          <w:rFonts w:hint="eastAsia" w:ascii="等线 Light" w:hAnsi="等线 Light" w:eastAsia="黑体"/>
          <w:b w:val="0"/>
          <w:sz w:val="24"/>
          <w:szCs w:val="24"/>
        </w:rPr>
      </w:pPr>
    </w:p>
    <w:p w14:paraId="39224C0C"/>
    <w:sectPr>
      <w:footerReference r:id="rId5" w:type="default"/>
      <w:pgSz w:w="11906" w:h="16838"/>
      <w:pgMar w:top="1723" w:right="1800" w:bottom="178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1FD9">
    <w:pPr>
      <w:pStyle w:val="7"/>
      <w:ind w:firstLine="4050" w:firstLineChars="22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062D0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E062D0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796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E6C0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CE6C0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7611">
    <w:pPr>
      <w:pStyle w:val="8"/>
      <w:pBdr>
        <w:bottom w:val="none" w:color="auto" w:sz="0" w:space="1"/>
      </w:pBdr>
      <w:jc w:val="both"/>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395E3"/>
    <w:multiLevelType w:val="singleLevel"/>
    <w:tmpl w:val="D6A395E3"/>
    <w:lvl w:ilvl="0" w:tentative="0">
      <w:start w:val="1"/>
      <w:numFmt w:val="chineseCounting"/>
      <w:suff w:val="nothing"/>
      <w:lvlText w:val="%1、"/>
      <w:lvlJc w:val="left"/>
      <w:pPr>
        <w:ind w:left="0" w:firstLine="420"/>
      </w:pPr>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4877BB4"/>
    <w:multiLevelType w:val="singleLevel"/>
    <w:tmpl w:val="04877BB4"/>
    <w:lvl w:ilvl="0" w:tentative="0">
      <w:start w:val="4"/>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7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0"/>
    <w:pPr>
      <w:keepNext/>
      <w:keepLines/>
      <w:spacing w:before="260" w:after="260" w:line="412" w:lineRule="auto"/>
      <w:outlineLvl w:val="2"/>
    </w:pPr>
    <w:rPr>
      <w:rFonts w:ascii="Times New Roman" w:hAnsi="Times New Roman" w:eastAsia="宋体" w:cs="Times New Roman"/>
      <w:b/>
      <w:sz w:val="32"/>
      <w:szCs w:val="20"/>
    </w:rPr>
  </w:style>
  <w:style w:type="paragraph" w:styleId="4">
    <w:name w:val="heading 4"/>
    <w:basedOn w:val="1"/>
    <w:next w:val="1"/>
    <w:qFormat/>
    <w:uiPriority w:val="9"/>
    <w:pPr>
      <w:keepNext/>
      <w:keepLines/>
      <w:spacing w:before="120" w:after="120"/>
      <w:outlineLvl w:val="3"/>
    </w:pPr>
    <w:rPr>
      <w:b/>
      <w:bCs/>
      <w:szCs w:val="28"/>
    </w:rPr>
  </w:style>
  <w:style w:type="paragraph" w:styleId="5">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rPr>
  </w:style>
  <w:style w:type="paragraph" w:styleId="6">
    <w:name w:val="Body Text Indent"/>
    <w:basedOn w:val="1"/>
    <w:qFormat/>
    <w:uiPriority w:val="0"/>
    <w:pPr>
      <w:spacing w:line="360" w:lineRule="auto"/>
      <w:ind w:firstLine="570"/>
    </w:pPr>
    <w:rPr>
      <w:rFonts w:ascii="宋体" w:hAnsi="宋体"/>
      <w:sz w:val="2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adjustRightInd w:val="0"/>
      <w:snapToGrid w:val="0"/>
      <w:spacing w:before="120" w:after="120" w:line="360" w:lineRule="auto"/>
      <w:jc w:val="center"/>
      <w:outlineLvl w:val="0"/>
    </w:pPr>
    <w:rPr>
      <w:rFonts w:eastAsia="华文中宋" w:cs="Arial"/>
      <w:b/>
      <w:bCs/>
      <w:sz w:val="32"/>
      <w:szCs w:val="48"/>
    </w:rPr>
  </w:style>
  <w:style w:type="paragraph" w:customStyle="1" w:styleId="12">
    <w:name w:val="正文格式"/>
    <w:qFormat/>
    <w:uiPriority w:val="0"/>
    <w:pPr>
      <w:widowControl w:val="0"/>
      <w:ind w:firstLine="420" w:firstLineChars="200"/>
      <w:jc w:val="both"/>
    </w:pPr>
    <w:rPr>
      <w:rFonts w:ascii="宋体" w:hAnsi="宋体" w:eastAsia="宋体" w:cs="Times New Roman"/>
      <w:bCs/>
      <w:snapToGrid w:val="0"/>
      <w:kern w:val="32"/>
      <w:sz w:val="21"/>
      <w:szCs w:val="21"/>
      <w:lang w:val="en-US" w:eastAsia="zh-CN" w:bidi="ar-SA"/>
    </w:rPr>
  </w:style>
  <w:style w:type="paragraph" w:customStyle="1" w:styleId="13">
    <w:name w:val="列出段落1"/>
    <w:basedOn w:val="1"/>
    <w:qFormat/>
    <w:uiPriority w:val="34"/>
    <w:pPr>
      <w:ind w:firstLine="420" w:firstLineChars="200"/>
    </w:pPr>
    <w:rPr>
      <w:rFonts w:ascii="Calibri" w:hAnsi="Calibri"/>
      <w:szCs w:val="22"/>
    </w:rPr>
  </w:style>
  <w:style w:type="paragraph" w:customStyle="1" w:styleId="14">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2025-07-21T03:05:25Z</dcterms:created>
  <dc:creator>SHI</dc:creator>
  <cp:lastModifiedBy>SHI</cp:lastModifiedBy>
  <dcterms:modified xsi:type="dcterms:W3CDTF">2025-07-21T03:07:01Z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eyJoZGlkIjoiZGMxMjhhNDk3ZDBjMTM2MjkwYTAyYmRmYWE5OTI5ZDQiLCJ1c2VySWQiOiIyODE1NDkxNTMifQ==</vt:lpwstr>
  </property>
  <property fmtid="{D5CDD505-2E9C-101B-9397-08002B2CF9AE}" pid="4" name="ICV">
    <vt:lpwstr>B53E546A59CC491F9502E8C41A7058D3_12</vt:lpwstr>
  </property>
</Properties>
</file>